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0A4" w:rsidRPr="00CF1D78" w:rsidRDefault="005B30A4" w:rsidP="005B30A4">
      <w:pPr>
        <w:tabs>
          <w:tab w:val="left" w:pos="4810"/>
        </w:tabs>
        <w:spacing w:before="240" w:after="240" w:line="240" w:lineRule="auto"/>
        <w:jc w:val="both"/>
        <w:rPr>
          <w:rFonts w:ascii="Times New Roman" w:hAnsi="Times New Roman" w:cs="Times New Roman"/>
          <w:bCs/>
          <w:sz w:val="24"/>
          <w:szCs w:val="24"/>
          <w:u w:val="single"/>
        </w:rPr>
      </w:pPr>
      <w:r>
        <w:rPr>
          <w:rFonts w:ascii="Times New Roman" w:hAnsi="Times New Roman" w:cs="Times New Roman"/>
          <w:bCs/>
          <w:noProof/>
          <w:sz w:val="24"/>
          <w:szCs w:val="24"/>
          <w:u w:val="single"/>
          <w:lang w:val="es-ES" w:eastAsia="es-ES"/>
        </w:rPr>
        <w:drawing>
          <wp:anchor distT="0" distB="0" distL="114300" distR="114300" simplePos="0" relativeHeight="251659264" behindDoc="1" locked="0" layoutInCell="1" allowOverlap="1">
            <wp:simplePos x="0" y="0"/>
            <wp:positionH relativeFrom="margin">
              <wp:posOffset>-693828</wp:posOffset>
            </wp:positionH>
            <wp:positionV relativeFrom="paragraph">
              <wp:posOffset>-566060</wp:posOffset>
            </wp:positionV>
            <wp:extent cx="404031" cy="498144"/>
            <wp:effectExtent l="19050" t="0" r="0" b="0"/>
            <wp:wrapNone/>
            <wp:docPr id="23" name="Imagen 23"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5" cstate="print"/>
                    <a:srcRect/>
                    <a:stretch>
                      <a:fillRect/>
                    </a:stretch>
                  </pic:blipFill>
                  <pic:spPr bwMode="auto">
                    <a:xfrm>
                      <a:off x="0" y="0"/>
                      <a:ext cx="404031" cy="498144"/>
                    </a:xfrm>
                    <a:prstGeom prst="rect">
                      <a:avLst/>
                    </a:prstGeom>
                    <a:noFill/>
                    <a:ln w="9525">
                      <a:noFill/>
                      <a:miter lim="800000"/>
                      <a:headEnd/>
                      <a:tailEnd/>
                    </a:ln>
                  </pic:spPr>
                </pic:pic>
              </a:graphicData>
            </a:graphic>
          </wp:anchor>
        </w:drawing>
      </w:r>
      <w:r w:rsidRPr="00B86D3A">
        <w:rPr>
          <w:rFonts w:ascii="Times New Roman" w:eastAsia="Times New Roman" w:hAnsi="Times New Roman" w:cs="Times New Roman"/>
          <w:b/>
          <w:lang w:val="es-ES" w:eastAsia="es-ES"/>
        </w:rPr>
        <w:t>ACTA NÚMERO DIECINUEVE.</w:t>
      </w:r>
    </w:p>
    <w:p w:rsidR="005B30A4" w:rsidRPr="00B86D3A" w:rsidRDefault="005B30A4" w:rsidP="005B30A4">
      <w:pPr>
        <w:pStyle w:val="Default"/>
        <w:jc w:val="both"/>
        <w:rPr>
          <w:rFonts w:ascii="Times New Roman" w:hAnsi="Times New Roman" w:cs="Times New Roman"/>
          <w:b/>
          <w:bCs/>
          <w:sz w:val="22"/>
          <w:szCs w:val="22"/>
          <w:u w:val="single"/>
        </w:rPr>
      </w:pPr>
    </w:p>
    <w:p w:rsidR="005B30A4" w:rsidRPr="00B86D3A" w:rsidRDefault="005B30A4" w:rsidP="005B30A4">
      <w:pPr>
        <w:pStyle w:val="Default"/>
        <w:jc w:val="both"/>
        <w:rPr>
          <w:rFonts w:ascii="Times New Roman" w:eastAsia="Times New Roman" w:hAnsi="Times New Roman" w:cs="Times New Roman"/>
          <w:b/>
          <w:color w:val="auto"/>
          <w:sz w:val="22"/>
          <w:szCs w:val="22"/>
          <w:lang w:val="es-ES" w:eastAsia="es-ES"/>
        </w:rPr>
      </w:pPr>
      <w:r w:rsidRPr="00B86D3A">
        <w:rPr>
          <w:rFonts w:ascii="Times New Roman" w:hAnsi="Times New Roman" w:cs="Times New Roman"/>
          <w:b/>
          <w:bCs/>
          <w:sz w:val="22"/>
          <w:szCs w:val="22"/>
          <w:u w:val="single"/>
        </w:rPr>
        <w:t>En el Salón de Sesiones de la Alcaldía Municipal DE VILLA SAN LUIS LA HERRA-DURA, Departamento de LA PAZ; a las catorce horas del día viernes diecisiete de  septiembre  del año dos mil veintiuno</w:t>
      </w:r>
      <w:r w:rsidRPr="00B86D3A">
        <w:rPr>
          <w:rFonts w:ascii="Times New Roman" w:hAnsi="Times New Roman" w:cs="Times New Roman"/>
          <w:sz w:val="22"/>
          <w:szCs w:val="22"/>
          <w:u w:val="single"/>
        </w:rPr>
        <w:t>.</w:t>
      </w:r>
      <w:r w:rsidRPr="00B86D3A">
        <w:rPr>
          <w:rFonts w:ascii="Times New Roman" w:hAnsi="Times New Roman" w:cs="Times New Roman"/>
          <w:sz w:val="22"/>
          <w:szCs w:val="22"/>
        </w:rPr>
        <w:t xml:space="preserve"> Siendo este el lugar, día y hora señalado para llevar a cabo la sesión </w:t>
      </w:r>
      <w:r w:rsidRPr="00B86D3A">
        <w:rPr>
          <w:rFonts w:ascii="Times New Roman" w:hAnsi="Times New Roman" w:cs="Times New Roman"/>
          <w:b/>
          <w:sz w:val="22"/>
          <w:szCs w:val="22"/>
        </w:rPr>
        <w:t xml:space="preserve">SEGUNDA ORDINARIA </w:t>
      </w:r>
      <w:r w:rsidRPr="00B86D3A">
        <w:rPr>
          <w:rFonts w:ascii="Times New Roman" w:hAnsi="Times New Roman" w:cs="Times New Roman"/>
          <w:sz w:val="22"/>
          <w:szCs w:val="22"/>
        </w:rPr>
        <w:t xml:space="preserve">del </w:t>
      </w:r>
      <w:r w:rsidRPr="00B86D3A">
        <w:rPr>
          <w:rFonts w:ascii="Times New Roman" w:hAnsi="Times New Roman" w:cs="Times New Roman"/>
          <w:b/>
          <w:bCs/>
          <w:sz w:val="22"/>
          <w:szCs w:val="22"/>
        </w:rPr>
        <w:t xml:space="preserve">CONCEJO MU|NICIPAL PLURAL </w:t>
      </w:r>
      <w:r w:rsidRPr="00B86D3A">
        <w:rPr>
          <w:rFonts w:ascii="Times New Roman" w:hAnsi="Times New Roman" w:cs="Times New Roman"/>
          <w:sz w:val="22"/>
          <w:szCs w:val="22"/>
        </w:rPr>
        <w:t>de este municipio, convocada y presidida por el Alcalde Muni-cipal: señor.</w:t>
      </w:r>
      <w:r w:rsidRPr="00B86D3A">
        <w:rPr>
          <w:rFonts w:ascii="Times New Roman" w:hAnsi="Times New Roman" w:cs="Times New Roman"/>
          <w:b/>
          <w:bCs/>
          <w:sz w:val="22"/>
          <w:szCs w:val="22"/>
        </w:rPr>
        <w:t xml:space="preserve"> Napoleón Armando Iraheta Jirón, </w:t>
      </w:r>
      <w:r w:rsidRPr="00B86D3A">
        <w:rPr>
          <w:rFonts w:ascii="Times New Roman" w:hAnsi="Times New Roman" w:cs="Times New Roman"/>
          <w:sz w:val="22"/>
          <w:szCs w:val="22"/>
        </w:rPr>
        <w:t>con la asistencia del Síndico Municipal</w:t>
      </w:r>
      <w:r w:rsidRPr="00B86D3A">
        <w:rPr>
          <w:rFonts w:ascii="Times New Roman" w:hAnsi="Times New Roman" w:cs="Times New Roman"/>
          <w:b/>
          <w:bCs/>
          <w:sz w:val="22"/>
          <w:szCs w:val="22"/>
        </w:rPr>
        <w:t xml:space="preserve">: Licenciada. Miriam del Carmen Granados Minero, </w:t>
      </w:r>
      <w:r w:rsidRPr="00B86D3A">
        <w:rPr>
          <w:rFonts w:ascii="Times New Roman" w:hAnsi="Times New Roman" w:cs="Times New Roman"/>
          <w:sz w:val="22"/>
          <w:szCs w:val="22"/>
        </w:rPr>
        <w:t xml:space="preserve">los Regidores Propietarios en su orden del primero al octavo. </w:t>
      </w:r>
      <w:r w:rsidRPr="00B86D3A">
        <w:rPr>
          <w:rFonts w:ascii="Times New Roman" w:hAnsi="Times New Roman" w:cs="Times New Roman"/>
          <w:b/>
          <w:bCs/>
          <w:sz w:val="22"/>
          <w:szCs w:val="22"/>
        </w:rPr>
        <w:t xml:space="preserve">Francisco Neftali Reyes Minero, José Andrés Ventura Celedón, YanoriEstefani Rodríguez Benitez, Licenciado. Amílcar Steeven Efigenio Arias, Federico Alvarado, Wilber Exequiel Hernández Urias, Tte. Milton Galileo González López y José Alejandro Sandoval Córdova; y </w:t>
      </w:r>
      <w:r w:rsidRPr="00B86D3A">
        <w:rPr>
          <w:rFonts w:ascii="Times New Roman" w:hAnsi="Times New Roman" w:cs="Times New Roman"/>
          <w:sz w:val="22"/>
          <w:szCs w:val="22"/>
        </w:rPr>
        <w:t xml:space="preserve">los Regidores suplentes del primero al cuarto en su orden: </w:t>
      </w:r>
      <w:r w:rsidRPr="00B86D3A">
        <w:rPr>
          <w:rFonts w:ascii="Times New Roman" w:hAnsi="Times New Roman" w:cs="Times New Roman"/>
          <w:b/>
          <w:bCs/>
          <w:sz w:val="22"/>
          <w:szCs w:val="22"/>
        </w:rPr>
        <w:t xml:space="preserve">José Isaí Cerón Díaz, Moisés Ernesto López Flores, Delmy Verónica Jandres Guzmán y Wilian Adalberto Lemus Menjivar; </w:t>
      </w:r>
      <w:r w:rsidRPr="00B86D3A">
        <w:rPr>
          <w:rFonts w:ascii="Times New Roman" w:hAnsi="Times New Roman" w:cs="Times New Roman"/>
          <w:sz w:val="22"/>
          <w:szCs w:val="22"/>
        </w:rPr>
        <w:t xml:space="preserve">asistidos del Secretario Municipal que autoriza, señor Ezequiel Córdova Mejía; se da inicio a la sesión y se somete a consideración la agenda establecida de la siguiente manera: </w:t>
      </w:r>
      <w:r w:rsidRPr="00B86D3A">
        <w:rPr>
          <w:rFonts w:ascii="Times New Roman" w:hAnsi="Times New Roman" w:cs="Times New Roman"/>
          <w:b/>
          <w:sz w:val="22"/>
          <w:szCs w:val="22"/>
          <w:u w:val="single"/>
        </w:rPr>
        <w:t>1</w:t>
      </w:r>
      <w:r w:rsidRPr="00B86D3A">
        <w:rPr>
          <w:rFonts w:ascii="Times New Roman" w:hAnsi="Times New Roman" w:cs="Times New Roman"/>
          <w:b/>
          <w:sz w:val="22"/>
          <w:szCs w:val="22"/>
        </w:rPr>
        <w:t xml:space="preserve">- </w:t>
      </w:r>
      <w:r w:rsidRPr="00B86D3A">
        <w:rPr>
          <w:rFonts w:ascii="Times New Roman" w:hAnsi="Times New Roman" w:cs="Times New Roman"/>
          <w:sz w:val="22"/>
          <w:szCs w:val="22"/>
        </w:rPr>
        <w:t xml:space="preserve">Saludo y bienvenida. </w:t>
      </w:r>
      <w:r w:rsidRPr="00B86D3A">
        <w:rPr>
          <w:rFonts w:ascii="Times New Roman" w:hAnsi="Times New Roman" w:cs="Times New Roman"/>
          <w:b/>
          <w:sz w:val="22"/>
          <w:szCs w:val="22"/>
          <w:u w:val="single"/>
        </w:rPr>
        <w:t>2-</w:t>
      </w:r>
      <w:r w:rsidRPr="00B86D3A">
        <w:rPr>
          <w:rFonts w:ascii="Times New Roman" w:eastAsia="Gulim" w:hAnsi="Times New Roman" w:cs="Times New Roman"/>
          <w:sz w:val="22"/>
          <w:szCs w:val="22"/>
        </w:rPr>
        <w:t xml:space="preserve">Establecimiento del Quórum. </w:t>
      </w:r>
      <w:r w:rsidRPr="00B86D3A">
        <w:rPr>
          <w:rFonts w:ascii="Times New Roman" w:eastAsia="Gulim" w:hAnsi="Times New Roman" w:cs="Times New Roman"/>
          <w:b/>
          <w:sz w:val="22"/>
          <w:szCs w:val="22"/>
          <w:u w:val="single"/>
        </w:rPr>
        <w:t>3-</w:t>
      </w:r>
      <w:r w:rsidRPr="00B86D3A">
        <w:rPr>
          <w:rFonts w:ascii="Times New Roman" w:eastAsia="Gulim" w:hAnsi="Times New Roman" w:cs="Times New Roman"/>
          <w:sz w:val="22"/>
          <w:szCs w:val="22"/>
        </w:rPr>
        <w:t xml:space="preserve">Aprobación de Agenda. </w:t>
      </w:r>
      <w:r w:rsidRPr="00B86D3A">
        <w:rPr>
          <w:rFonts w:ascii="Times New Roman" w:eastAsia="Gulim" w:hAnsi="Times New Roman" w:cs="Times New Roman"/>
          <w:b/>
          <w:sz w:val="22"/>
          <w:szCs w:val="22"/>
          <w:u w:val="single"/>
        </w:rPr>
        <w:t>4-</w:t>
      </w:r>
      <w:r w:rsidRPr="00B86D3A">
        <w:rPr>
          <w:rFonts w:ascii="Times New Roman" w:eastAsia="Gulim" w:hAnsi="Times New Roman" w:cs="Times New Roman"/>
          <w:sz w:val="22"/>
          <w:szCs w:val="22"/>
        </w:rPr>
        <w:t xml:space="preserve"> Lectura y Aprobación del Acta anterior. </w:t>
      </w:r>
      <w:r w:rsidRPr="00B86D3A">
        <w:rPr>
          <w:rFonts w:ascii="Times New Roman" w:eastAsia="Gulim" w:hAnsi="Times New Roman" w:cs="Times New Roman"/>
          <w:b/>
          <w:sz w:val="22"/>
          <w:szCs w:val="22"/>
          <w:u w:val="single"/>
        </w:rPr>
        <w:t>5-</w:t>
      </w:r>
      <w:r w:rsidRPr="00B86D3A">
        <w:rPr>
          <w:rFonts w:ascii="Times New Roman" w:hAnsi="Times New Roman" w:cs="Times New Roman"/>
          <w:sz w:val="22"/>
          <w:szCs w:val="22"/>
        </w:rPr>
        <w:t xml:space="preserve"> Revisión y Aprobación de Reforma a la Ordenanza de Tasas por Servicios Municipales de San Luis La Herradura. </w:t>
      </w:r>
      <w:r w:rsidRPr="00B86D3A">
        <w:rPr>
          <w:rFonts w:ascii="Times New Roman" w:hAnsi="Times New Roman" w:cs="Times New Roman"/>
          <w:b/>
          <w:sz w:val="22"/>
          <w:szCs w:val="22"/>
          <w:u w:val="single"/>
        </w:rPr>
        <w:t>6-</w:t>
      </w:r>
      <w:r w:rsidRPr="00B86D3A">
        <w:rPr>
          <w:rFonts w:ascii="Times New Roman" w:hAnsi="Times New Roman" w:cs="Times New Roman"/>
          <w:sz w:val="22"/>
          <w:szCs w:val="22"/>
        </w:rPr>
        <w:t xml:space="preserve"> Revisión y Aprobación de Reforma a la Ordenanza para el Desarrollo, Ordenamiento y Gestión del Territorio del Municipio de San Luis La Herradura.</w:t>
      </w:r>
      <w:r w:rsidRPr="00B86D3A">
        <w:rPr>
          <w:rFonts w:ascii="Times New Roman" w:hAnsi="Times New Roman" w:cs="Times New Roman"/>
          <w:b/>
          <w:sz w:val="22"/>
          <w:szCs w:val="22"/>
          <w:u w:val="single"/>
        </w:rPr>
        <w:t>7-</w:t>
      </w:r>
      <w:r w:rsidRPr="00B86D3A">
        <w:rPr>
          <w:rFonts w:ascii="Times New Roman" w:hAnsi="Times New Roman" w:cs="Times New Roman"/>
          <w:sz w:val="22"/>
          <w:szCs w:val="22"/>
        </w:rPr>
        <w:t xml:space="preserve">Acuerdo Municipal de Autorización del proceso Código LG 165-2021/AMSLH, para la “Contrata-ción de un servicio de extracción y desalojo de desechos de fosa séptica de baños públicos del mercado y muelle municipal, a Empresa MAPRECO, S.A. de C.V. Por un monto de $ 4,320.00; </w:t>
      </w:r>
      <w:r w:rsidRPr="00B86D3A">
        <w:rPr>
          <w:rFonts w:ascii="Times New Roman" w:hAnsi="Times New Roman" w:cs="Times New Roman"/>
          <w:b/>
          <w:sz w:val="22"/>
          <w:szCs w:val="22"/>
        </w:rPr>
        <w:t>8-</w:t>
      </w:r>
      <w:r w:rsidRPr="00B86D3A">
        <w:rPr>
          <w:rFonts w:ascii="Times New Roman" w:eastAsia="Gulim" w:hAnsi="Times New Roman" w:cs="Times New Roman"/>
          <w:sz w:val="22"/>
          <w:szCs w:val="22"/>
        </w:rPr>
        <w:t xml:space="preserve">Acuerdo Municipal de traslado de fondos de la Cuenta 100-310-700058-8 Fondo General Municipal al fondo 100-310-700064-3, para el pago de planilla del personal de tren de aseo del mes de septiembre de 2021. Por un monto de $ 13,000.00; </w:t>
      </w:r>
      <w:r w:rsidRPr="00B86D3A">
        <w:rPr>
          <w:rFonts w:ascii="Times New Roman" w:eastAsia="Gulim" w:hAnsi="Times New Roman" w:cs="Times New Roman"/>
          <w:b/>
          <w:sz w:val="22"/>
          <w:szCs w:val="22"/>
        </w:rPr>
        <w:t>9-</w:t>
      </w:r>
      <w:r w:rsidRPr="00B86D3A">
        <w:rPr>
          <w:rFonts w:ascii="Times New Roman" w:hAnsi="Times New Roman" w:cs="Times New Roman"/>
          <w:sz w:val="22"/>
          <w:szCs w:val="22"/>
        </w:rPr>
        <w:t>Acuerdo Municipal de Autorización a Lic. Gladis del Carmen Alfaro de Villalta, Asesora Jurídica Municipal, para en nombre y representación del Concejo Municipal, inicie el proceso de cobro Judicial a la  Sociedad Cementerio Jardines de Los Inolvidables S.A. de C.V.</w:t>
      </w:r>
      <w:r w:rsidRPr="00B86D3A">
        <w:rPr>
          <w:rFonts w:ascii="Times New Roman" w:hAnsi="Times New Roman" w:cs="Times New Roman"/>
          <w:b/>
          <w:sz w:val="22"/>
          <w:szCs w:val="22"/>
        </w:rPr>
        <w:t>10-</w:t>
      </w:r>
      <w:r w:rsidRPr="00B86D3A">
        <w:rPr>
          <w:rFonts w:ascii="Times New Roman" w:hAnsi="Times New Roman" w:cs="Times New Roman"/>
          <w:sz w:val="22"/>
          <w:szCs w:val="22"/>
        </w:rPr>
        <w:t xml:space="preserve"> Acuerdo Municipal de Reforma al Presupuesto Municipal 2021, Autorización para la incorporación del saldo de la cuenta número 100-310-700410-9, del Proyecto: “Conformación y Balastado de calle principal que conduce de Caserío El Ranchón a Cantón La Calzada, en Isla La Calzada”, San Luis La Herradura, por la cantidad de: $13,129.73; </w:t>
      </w:r>
      <w:r w:rsidRPr="00B86D3A">
        <w:rPr>
          <w:rFonts w:ascii="Times New Roman" w:hAnsi="Times New Roman" w:cs="Times New Roman"/>
          <w:b/>
          <w:sz w:val="22"/>
          <w:szCs w:val="22"/>
        </w:rPr>
        <w:t xml:space="preserve">11- </w:t>
      </w:r>
      <w:r w:rsidRPr="00B86D3A">
        <w:rPr>
          <w:rFonts w:ascii="Times New Roman" w:hAnsi="Times New Roman" w:cs="Times New Roman"/>
          <w:sz w:val="22"/>
          <w:szCs w:val="22"/>
        </w:rPr>
        <w:t>Acuerdo Municipal de Autorización del Proceso Código LG 157-2021/AMSLH, para el Suministro de agua envasada para consumo humano, a Empresa INVERSIONES VIDA S.A. DE C.V. durante un año por un monto de$ 16,128.00;</w:t>
      </w:r>
      <w:r w:rsidRPr="00B86D3A">
        <w:rPr>
          <w:rFonts w:ascii="Times New Roman" w:eastAsia="Gulim" w:hAnsi="Times New Roman" w:cs="Times New Roman"/>
          <w:b/>
          <w:sz w:val="22"/>
          <w:szCs w:val="22"/>
          <w:u w:val="single"/>
        </w:rPr>
        <w:t>12-</w:t>
      </w:r>
      <w:r w:rsidRPr="00B86D3A">
        <w:rPr>
          <w:rFonts w:ascii="Times New Roman" w:eastAsia="Gulim" w:hAnsi="Times New Roman" w:cs="Times New Roman"/>
          <w:sz w:val="22"/>
          <w:szCs w:val="22"/>
        </w:rPr>
        <w:t xml:space="preserve">  Otros……………..…………………………………………….</w:t>
      </w:r>
    </w:p>
    <w:p w:rsidR="005B30A4" w:rsidRPr="00B86D3A" w:rsidRDefault="005B30A4" w:rsidP="005B30A4">
      <w:pPr>
        <w:spacing w:before="240" w:after="0" w:line="240" w:lineRule="auto"/>
        <w:ind w:right="49"/>
        <w:jc w:val="both"/>
        <w:rPr>
          <w:rFonts w:ascii="Times New Roman" w:hAnsi="Times New Roman" w:cs="Times New Roman"/>
          <w:b/>
          <w:bCs/>
          <w:u w:val="single"/>
        </w:rPr>
      </w:pPr>
      <w:r w:rsidRPr="00B86D3A">
        <w:rPr>
          <w:rFonts w:ascii="Times New Roman" w:hAnsi="Times New Roman" w:cs="Times New Roman"/>
          <w:b/>
          <w:bCs/>
          <w:u w:val="single"/>
        </w:rPr>
        <w:t>ACUERDO NUMERO UNO.-</w:t>
      </w:r>
      <w:r w:rsidRPr="00B86D3A">
        <w:rPr>
          <w:rFonts w:ascii="Times New Roman" w:hAnsi="Times New Roman" w:cs="Times New Roman"/>
          <w:u w:val="single"/>
        </w:rPr>
        <w:t xml:space="preserve">El Concejo Municipal de Villa San Luis La Herradura Departa-mento de la Paz; </w:t>
      </w:r>
      <w:r w:rsidRPr="00B86D3A">
        <w:rPr>
          <w:rFonts w:ascii="Times New Roman" w:hAnsi="Times New Roman" w:cs="Times New Roman"/>
        </w:rPr>
        <w:t>en uso de sus facultades legales que le confiere el Código Municipal,</w:t>
      </w:r>
      <w:r w:rsidRPr="00B86D3A">
        <w:rPr>
          <w:rFonts w:ascii="Times New Roman" w:hAnsi="Times New Roman" w:cs="Times New Roman"/>
          <w:b/>
          <w:bCs/>
          <w:u w:val="single"/>
        </w:rPr>
        <w:t xml:space="preserve">Acuerda: </w:t>
      </w:r>
      <w:r w:rsidRPr="00B86D3A">
        <w:rPr>
          <w:rFonts w:ascii="Times New Roman" w:hAnsi="Times New Roman" w:cs="Times New Roman"/>
          <w:u w:val="single"/>
        </w:rPr>
        <w:t>Ratificar el acta anterior en todas sus partes y como constancia es firmada por todos………………</w:t>
      </w:r>
    </w:p>
    <w:p w:rsidR="005B30A4" w:rsidRPr="00B86D3A" w:rsidRDefault="005B30A4" w:rsidP="005B30A4">
      <w:pPr>
        <w:spacing w:after="0" w:line="240" w:lineRule="auto"/>
        <w:jc w:val="both"/>
        <w:rPr>
          <w:rFonts w:ascii="Times New Roman" w:hAnsi="Times New Roman" w:cs="Times New Roman"/>
          <w:b/>
          <w:bCs/>
          <w:u w:val="single"/>
        </w:rPr>
      </w:pPr>
    </w:p>
    <w:p w:rsidR="005B30A4" w:rsidRPr="00B86D3A" w:rsidRDefault="005B30A4" w:rsidP="005B30A4">
      <w:pPr>
        <w:spacing w:after="0" w:line="240" w:lineRule="auto"/>
        <w:jc w:val="both"/>
        <w:rPr>
          <w:rFonts w:ascii="Times New Roman" w:hAnsi="Times New Roman" w:cs="Times New Roman"/>
          <w:u w:val="single"/>
        </w:rPr>
      </w:pPr>
      <w:r w:rsidRPr="00B86D3A">
        <w:rPr>
          <w:rFonts w:ascii="Times New Roman" w:hAnsi="Times New Roman" w:cs="Times New Roman"/>
          <w:b/>
          <w:bCs/>
          <w:u w:val="single"/>
        </w:rPr>
        <w:t xml:space="preserve">ACUERDO NUMERO DOS.- </w:t>
      </w:r>
      <w:r w:rsidRPr="00B86D3A">
        <w:rPr>
          <w:rFonts w:ascii="Times New Roman" w:hAnsi="Times New Roman" w:cs="Times New Roman"/>
          <w:u w:val="single"/>
        </w:rPr>
        <w:t xml:space="preserve">El Concejo Municipal de la Villa San Luis La Herradura, Departamento de La Paz, </w:t>
      </w:r>
      <w:r w:rsidRPr="00B86D3A">
        <w:rPr>
          <w:rFonts w:ascii="Times New Roman" w:hAnsi="Times New Roman" w:cs="Times New Roman"/>
          <w:b/>
          <w:u w:val="single"/>
        </w:rPr>
        <w:t>Considerando: a)</w:t>
      </w:r>
      <w:r w:rsidRPr="00B86D3A">
        <w:rPr>
          <w:rFonts w:ascii="Times New Roman" w:hAnsi="Times New Roman" w:cs="Times New Roman"/>
          <w:u w:val="single"/>
        </w:rPr>
        <w:t xml:space="preserve"> El Memorándum de la Jefa de la Unidad de Adquisiciones y Contrataciones Institucional UACI, de esta municipalidad, señora Claudia Yesenia Martínez de Interiano, del 13 de septiembre del corriente año</w:t>
      </w:r>
      <w:r w:rsidRPr="00B86D3A">
        <w:rPr>
          <w:rFonts w:ascii="Times New Roman" w:hAnsi="Times New Roman" w:cs="Times New Roman"/>
        </w:rPr>
        <w:t>, en el que solicita Acuerdo Municipal de Autorización del Proceso Código LG 165-2021/AMSLH, para la “Contratación de un servicio de extracción y desalojo de desechos de fosa séptica de baños públicos del mercado y muelle municipal;</w:t>
      </w:r>
      <w:r w:rsidRPr="00B86D3A">
        <w:rPr>
          <w:rFonts w:ascii="Times New Roman" w:eastAsia="Gulim" w:hAnsi="Times New Roman" w:cs="Times New Roman"/>
        </w:rPr>
        <w:t xml:space="preserve"> en el que presenta cuadro comparativo de Ofertas del Proceso antes mencionado siendo las Empresas MAPRECO, S.A. de C.V. Y SERVICIOS SANITARIOS, S.A. DE C.V.; Por parte de la Unidad de Adquisiciones y Contrataciones Institucional UACI. Local. En la que recomienda se Adjudique los servicios </w:t>
      </w:r>
      <w:r w:rsidRPr="00B86D3A">
        <w:rPr>
          <w:rFonts w:ascii="Times New Roman" w:hAnsi="Times New Roman" w:cs="Times New Roman"/>
        </w:rPr>
        <w:t xml:space="preserve">de extracción y </w:t>
      </w:r>
      <w:r w:rsidRPr="00B86D3A">
        <w:rPr>
          <w:rFonts w:ascii="Times New Roman" w:hAnsi="Times New Roman" w:cs="Times New Roman"/>
        </w:rPr>
        <w:lastRenderedPageBreak/>
        <w:t>desalojo de desechos de fosa séptica de baños públicos del mercado y muelle municipal, a la Empresa MAPRECO, S.A. DE C.V.</w:t>
      </w:r>
      <w:r w:rsidRPr="00B86D3A">
        <w:rPr>
          <w:rFonts w:ascii="Times New Roman" w:eastAsia="Gulim" w:hAnsi="Times New Roman" w:cs="Times New Roman"/>
        </w:rPr>
        <w:t xml:space="preserve">; por un monto de: Cuatro mil trescientos veinte 00/100 Dólares Estadounidenses ($4,320.00); por ofrecerlos el mejor precio, en comparación con la otra empresa participante SERVICIOS SANITARIOS, S.A. DE C.V.; en el presente proceso. </w:t>
      </w:r>
      <w:r w:rsidRPr="00B86D3A">
        <w:rPr>
          <w:rFonts w:ascii="Times New Roman" w:eastAsia="Gulim" w:hAnsi="Times New Roman" w:cs="Times New Roman"/>
          <w:b/>
          <w:u w:val="single"/>
        </w:rPr>
        <w:t>Por Tanto</w:t>
      </w:r>
      <w:r w:rsidRPr="00B86D3A">
        <w:rPr>
          <w:rFonts w:ascii="Times New Roman" w:eastAsia="Gulim" w:hAnsi="Times New Roman" w:cs="Times New Roman"/>
        </w:rPr>
        <w:t>: El Concejo Municipal en uso de sus facultades que le confiere El Código Municipal y la Ley de Adquisiciones y Contrataciones de la Administración Municipal LACAP.;</w:t>
      </w:r>
      <w:r w:rsidRPr="00B86D3A">
        <w:rPr>
          <w:rFonts w:ascii="Times New Roman" w:hAnsi="Times New Roman" w:cs="Times New Roman"/>
          <w:b/>
          <w:bCs/>
          <w:u w:val="single"/>
        </w:rPr>
        <w:t xml:space="preserve">ACUERDA: Primero: </w:t>
      </w:r>
      <w:r w:rsidRPr="00B86D3A">
        <w:rPr>
          <w:rFonts w:ascii="Times New Roman" w:hAnsi="Times New Roman" w:cs="Times New Roman"/>
          <w:bCs/>
          <w:u w:val="single"/>
        </w:rPr>
        <w:t xml:space="preserve">Se adjudica El </w:t>
      </w:r>
      <w:r w:rsidRPr="00B86D3A">
        <w:rPr>
          <w:rFonts w:ascii="Times New Roman" w:hAnsi="Times New Roman" w:cs="Times New Roman"/>
          <w:u w:val="single"/>
        </w:rPr>
        <w:t>Proceso Código LG 165-2021/AMSLH, para la “Contratación de un servicio de extracción y desalojo de desechos de fosa séptica de baños públicos del mercado y muelle municipal;</w:t>
      </w:r>
      <w:r w:rsidRPr="00B86D3A">
        <w:rPr>
          <w:rFonts w:ascii="Times New Roman" w:hAnsi="Times New Roman" w:cs="Times New Roman"/>
          <w:bCs/>
          <w:u w:val="single"/>
        </w:rPr>
        <w:t xml:space="preserve">a la </w:t>
      </w:r>
      <w:r w:rsidRPr="00B86D3A">
        <w:rPr>
          <w:rFonts w:ascii="Times New Roman" w:hAnsi="Times New Roman" w:cs="Times New Roman"/>
          <w:u w:val="single"/>
        </w:rPr>
        <w:t xml:space="preserve">Empresa </w:t>
      </w:r>
      <w:r w:rsidRPr="00B86D3A">
        <w:rPr>
          <w:rFonts w:ascii="Times New Roman" w:hAnsi="Times New Roman" w:cs="Times New Roman"/>
          <w:b/>
          <w:u w:val="single"/>
        </w:rPr>
        <w:t>MAPRECO, S.A. DE C.V.</w:t>
      </w:r>
      <w:r w:rsidRPr="00B86D3A">
        <w:rPr>
          <w:rFonts w:ascii="Times New Roman" w:eastAsia="Gulim" w:hAnsi="Times New Roman" w:cs="Times New Roman"/>
          <w:b/>
          <w:u w:val="single"/>
        </w:rPr>
        <w:t>; por el monto de: Cuatro mil trescientos veinte 00/100 Dólares Estadounidenses ($4,320.00);Segundo:</w:t>
      </w:r>
      <w:r w:rsidRPr="00B86D3A">
        <w:rPr>
          <w:rFonts w:ascii="Times New Roman" w:eastAsia="Gulim" w:hAnsi="Times New Roman" w:cs="Times New Roman"/>
          <w:u w:val="single"/>
        </w:rPr>
        <w:t xml:space="preserve">Se </w:t>
      </w:r>
      <w:r w:rsidRPr="00B86D3A">
        <w:rPr>
          <w:rFonts w:ascii="Times New Roman" w:hAnsi="Times New Roman" w:cs="Times New Roman"/>
          <w:u w:val="single"/>
        </w:rPr>
        <w:t xml:space="preserve">Autoriza al Tesorero Municipal, Cesar Alonso Villalta Reyes, para la erogación de Fondos Propios, por la cantidad de: </w:t>
      </w:r>
      <w:r w:rsidRPr="00B86D3A">
        <w:rPr>
          <w:rFonts w:ascii="Times New Roman" w:eastAsia="Gulim" w:hAnsi="Times New Roman" w:cs="Times New Roman"/>
          <w:u w:val="single"/>
        </w:rPr>
        <w:t>Cuatro mil trescientos veinte 00/100 Dólares Estadounidenses ($4,320.00);</w:t>
      </w:r>
      <w:r w:rsidRPr="00B86D3A">
        <w:rPr>
          <w:rFonts w:ascii="Times New Roman" w:hAnsi="Times New Roman" w:cs="Times New Roman"/>
          <w:u w:val="single"/>
        </w:rPr>
        <w:t xml:space="preserve"> a nombre de la Empresa </w:t>
      </w:r>
      <w:r w:rsidRPr="00B86D3A">
        <w:rPr>
          <w:rFonts w:ascii="Times New Roman" w:hAnsi="Times New Roman" w:cs="Times New Roman"/>
          <w:b/>
          <w:u w:val="single"/>
        </w:rPr>
        <w:t>MAPRECO, S.A. DE C.V.</w:t>
      </w:r>
      <w:r w:rsidRPr="00B86D3A">
        <w:rPr>
          <w:rFonts w:ascii="Times New Roman" w:eastAsia="Gulim" w:hAnsi="Times New Roman" w:cs="Times New Roman"/>
          <w:b/>
          <w:u w:val="single"/>
        </w:rPr>
        <w:t>;</w:t>
      </w:r>
      <w:r w:rsidRPr="00B86D3A">
        <w:rPr>
          <w:rFonts w:ascii="Times New Roman" w:hAnsi="Times New Roman" w:cs="Times New Roman"/>
          <w:u w:val="single"/>
        </w:rPr>
        <w:t xml:space="preserve">en concepto servicio de extracción y desalojo de desechos de fosa séptica de baños públicos del mercado y muelle municipal;para dicho pago será indispensable que se presenten los comprobantes de la Disposición Final de Residuos extraídos; gasto que será aplicado al Presupuesto Municipal Vigente Fondos Propios. </w:t>
      </w:r>
      <w:r w:rsidRPr="00B86D3A">
        <w:rPr>
          <w:rFonts w:ascii="Times New Roman" w:hAnsi="Times New Roman" w:cs="Times New Roman"/>
          <w:b/>
          <w:u w:val="single"/>
        </w:rPr>
        <w:t>Tercero:</w:t>
      </w:r>
      <w:r w:rsidRPr="00B86D3A">
        <w:rPr>
          <w:rFonts w:ascii="Times New Roman" w:hAnsi="Times New Roman" w:cs="Times New Roman"/>
          <w:u w:val="single"/>
        </w:rPr>
        <w:t xml:space="preserve"> Se autoriza al señor Alcalde Municipal, don Napoleón Armando Iraheta Jirón; para que en nombre y representación del Concejo Municipal de este municipio firme el contrato correspondiente. </w:t>
      </w:r>
      <w:r w:rsidRPr="00B86D3A">
        <w:rPr>
          <w:rFonts w:ascii="Times New Roman" w:hAnsi="Times New Roman" w:cs="Times New Roman"/>
          <w:b/>
          <w:u w:val="single"/>
        </w:rPr>
        <w:t>Cuarto:</w:t>
      </w:r>
      <w:r w:rsidRPr="00B86D3A">
        <w:rPr>
          <w:rFonts w:ascii="Times New Roman" w:hAnsi="Times New Roman" w:cs="Times New Roman"/>
          <w:u w:val="single"/>
        </w:rPr>
        <w:t xml:space="preserve">Se nombra como Administrador de Orden de Compra al señor Simón Gonzalo Araujo Meléndez, Administrador de Mercado de esta municipalidad. </w:t>
      </w:r>
      <w:r w:rsidRPr="00B86D3A">
        <w:rPr>
          <w:rFonts w:ascii="Times New Roman" w:hAnsi="Times New Roman" w:cs="Times New Roman"/>
          <w:b/>
          <w:u w:val="single"/>
        </w:rPr>
        <w:t>Quinto:</w:t>
      </w:r>
      <w:r w:rsidRPr="00B86D3A">
        <w:rPr>
          <w:rFonts w:ascii="Times New Roman" w:hAnsi="Times New Roman" w:cs="Times New Roman"/>
          <w:u w:val="single"/>
        </w:rPr>
        <w:t xml:space="preserve"> Certifíquese y comuníquese para los demás efectos legales consiguientes……………………………..</w:t>
      </w:r>
    </w:p>
    <w:p w:rsidR="005B30A4" w:rsidRPr="00B86D3A" w:rsidRDefault="005B30A4" w:rsidP="005B30A4">
      <w:pPr>
        <w:spacing w:after="0" w:line="240" w:lineRule="auto"/>
        <w:jc w:val="both"/>
        <w:rPr>
          <w:rFonts w:ascii="Times New Roman" w:hAnsi="Times New Roman" w:cs="Times New Roman"/>
        </w:rPr>
      </w:pPr>
    </w:p>
    <w:p w:rsidR="005B30A4" w:rsidRPr="00B646BC" w:rsidRDefault="005B30A4" w:rsidP="005B30A4">
      <w:pPr>
        <w:spacing w:after="0" w:line="240" w:lineRule="auto"/>
        <w:jc w:val="both"/>
        <w:rPr>
          <w:rFonts w:ascii="Times New Roman" w:eastAsia="Gulim" w:hAnsi="Times New Roman" w:cs="Times New Roman"/>
        </w:rPr>
      </w:pPr>
      <w:r w:rsidRPr="00B646BC">
        <w:rPr>
          <w:rFonts w:ascii="Times New Roman" w:hAnsi="Times New Roman" w:cs="Times New Roman"/>
          <w:b/>
          <w:bCs/>
          <w:u w:val="single"/>
        </w:rPr>
        <w:t xml:space="preserve">ACUERDO NÚMERO TRES: </w:t>
      </w:r>
      <w:r w:rsidRPr="00B646BC">
        <w:rPr>
          <w:rFonts w:ascii="Times New Roman" w:hAnsi="Times New Roman" w:cs="Times New Roman"/>
          <w:u w:val="single"/>
        </w:rPr>
        <w:t xml:space="preserve">El Concejo Municipal de Villa San Luis La Herradura Departamento de la Paz, </w:t>
      </w:r>
      <w:r w:rsidRPr="00B646BC">
        <w:rPr>
          <w:rFonts w:ascii="Times New Roman" w:hAnsi="Times New Roman" w:cs="Times New Roman"/>
          <w:b/>
          <w:u w:val="single"/>
        </w:rPr>
        <w:t>Considerando:a)</w:t>
      </w:r>
      <w:r w:rsidRPr="00B646BC">
        <w:rPr>
          <w:rFonts w:ascii="Times New Roman" w:hAnsi="Times New Roman" w:cs="Times New Roman"/>
          <w:u w:val="single"/>
        </w:rPr>
        <w:t xml:space="preserve"> El Memorándum del señor César Alonso Villalta Re-yes, Tesorero Municipal,</w:t>
      </w:r>
      <w:r w:rsidRPr="00B646BC">
        <w:rPr>
          <w:rFonts w:ascii="Times New Roman" w:hAnsi="Times New Roman" w:cs="Times New Roman"/>
        </w:rPr>
        <w:t xml:space="preserve"> de fecha 16 de septiembre del corriente año, en el que solicita Acuerdo del Concejo Municipal de Autorización de transferir fondos de la Cuenta Corriente Número 100-310-700058-8 Fondo General, para pago de Planilla del personal del Tren de Aseo de esta municipalidad del mes de septiembre del corriente año, a la Cuenta No. 100-310-700064-3, por un monto de: $13,000.00; los cuales serán reintegrados del FODES del mes de agosto del presente año. </w:t>
      </w:r>
      <w:r w:rsidRPr="00B646BC">
        <w:rPr>
          <w:rFonts w:ascii="Times New Roman" w:hAnsi="Times New Roman" w:cs="Times New Roman"/>
          <w:b/>
          <w:u w:val="single"/>
        </w:rPr>
        <w:t>b)</w:t>
      </w:r>
      <w:r w:rsidRPr="00B646BC">
        <w:rPr>
          <w:rFonts w:ascii="Times New Roman" w:hAnsi="Times New Roman" w:cs="Times New Roman"/>
          <w:u w:val="single"/>
        </w:rPr>
        <w:t xml:space="preserve"> Que el Gobierno de El Salvador a través del Ministerio de Hacienda, a la fecha no ha transferido el Fondo para el Desarrollo Económico y Social FODES.</w:t>
      </w:r>
      <w:r w:rsidRPr="00B646BC">
        <w:rPr>
          <w:rFonts w:ascii="Times New Roman" w:hAnsi="Times New Roman" w:cs="Times New Roman"/>
        </w:rPr>
        <w:t xml:space="preserve">, correspondiente a nuestro Municipio del mes de septiembre del corriente año. </w:t>
      </w:r>
      <w:r w:rsidRPr="00B646BC">
        <w:rPr>
          <w:rFonts w:ascii="Times New Roman" w:hAnsi="Times New Roman" w:cs="Times New Roman"/>
          <w:b/>
          <w:bCs/>
          <w:u w:val="single"/>
        </w:rPr>
        <w:t>c) Q</w:t>
      </w:r>
      <w:r w:rsidRPr="00B646BC">
        <w:rPr>
          <w:rFonts w:ascii="Times New Roman" w:hAnsi="Times New Roman" w:cs="Times New Roman"/>
          <w:u w:val="single"/>
        </w:rPr>
        <w:t>ue parte de dicho fondo de acuerdo al Reglamento del Uso del 25% FODES</w:t>
      </w:r>
      <w:r w:rsidRPr="00B646BC">
        <w:rPr>
          <w:rFonts w:ascii="Times New Roman" w:hAnsi="Times New Roman" w:cs="Times New Roman"/>
        </w:rPr>
        <w:t xml:space="preserve">, se utiliza para el pago de planilla al personal del Tren de Aseo de esta municipalidad, para lo cual es necesario realizar un Préstamo de la Cuenta del Fondo Común Municipal y poder así cancelar la Planilla del personal antes mencionado. </w:t>
      </w:r>
      <w:r w:rsidRPr="00B646BC">
        <w:rPr>
          <w:rFonts w:ascii="Times New Roman" w:hAnsi="Times New Roman" w:cs="Times New Roman"/>
          <w:b/>
          <w:u w:val="single"/>
        </w:rPr>
        <w:t>Por Tanto:</w:t>
      </w:r>
      <w:r w:rsidRPr="00B646BC">
        <w:rPr>
          <w:rFonts w:ascii="Times New Roman" w:hAnsi="Times New Roman" w:cs="Times New Roman"/>
        </w:rPr>
        <w:t xml:space="preserve"> El Concejo Municipal en uso de sus facultades que le confiere El Código Municipal. </w:t>
      </w:r>
      <w:r w:rsidRPr="00B646BC">
        <w:rPr>
          <w:rFonts w:ascii="Times New Roman" w:hAnsi="Times New Roman" w:cs="Times New Roman"/>
          <w:b/>
          <w:u w:val="single"/>
        </w:rPr>
        <w:t>ACUERDA: Primero:</w:t>
      </w:r>
      <w:r w:rsidRPr="00B646BC">
        <w:rPr>
          <w:rFonts w:ascii="Times New Roman" w:hAnsi="Times New Roman" w:cs="Times New Roman"/>
          <w:u w:val="single"/>
        </w:rPr>
        <w:t>Autorizar al Tesorero Municipal, para que realice transferencia de Fondos por Préstamo temporal entre cuentas Municipales, Cuenta Corriente Número</w:t>
      </w:r>
      <w:r w:rsidRPr="00B646BC">
        <w:rPr>
          <w:rFonts w:ascii="Times New Roman" w:eastAsia="Gulim" w:hAnsi="Times New Roman" w:cs="Times New Roman"/>
          <w:u w:val="single"/>
        </w:rPr>
        <w:t xml:space="preserve"> 100-310-700058-8; Fondo General Municipal a la Cuenta Corriente Número 100-310-700064-3, Fondo para El Desarrollo Económico y Social 25% FODES. Para el pago de planilla del personal de tren de aseo de esta municipalidad, correspondiente al mes de septiembre de 2021. Por un monto de: </w:t>
      </w:r>
      <w:r w:rsidRPr="00B646BC">
        <w:rPr>
          <w:rFonts w:ascii="Times New Roman" w:eastAsia="Gulim" w:hAnsi="Times New Roman" w:cs="Times New Roman"/>
          <w:b/>
          <w:u w:val="single"/>
        </w:rPr>
        <w:t>Trece mil 00/100 Dólares Estadounidenses ($</w:t>
      </w:r>
      <w:r w:rsidRPr="00B646BC">
        <w:rPr>
          <w:rFonts w:ascii="Times New Roman" w:hAnsi="Times New Roman" w:cs="Times New Roman"/>
          <w:b/>
          <w:u w:val="single"/>
        </w:rPr>
        <w:t>13,000.00</w:t>
      </w:r>
      <w:r w:rsidRPr="00B646BC">
        <w:rPr>
          <w:rFonts w:ascii="Times New Roman" w:eastAsia="Gulim" w:hAnsi="Times New Roman" w:cs="Times New Roman"/>
          <w:b/>
          <w:u w:val="single"/>
        </w:rPr>
        <w:t>)</w:t>
      </w:r>
      <w:r w:rsidRPr="00B646BC">
        <w:rPr>
          <w:rFonts w:ascii="Times New Roman" w:hAnsi="Times New Roman" w:cs="Times New Roman"/>
          <w:b/>
          <w:u w:val="single"/>
        </w:rPr>
        <w:t>;</w:t>
      </w:r>
      <w:r w:rsidRPr="00B646BC">
        <w:rPr>
          <w:rFonts w:ascii="Times New Roman" w:hAnsi="Times New Roman" w:cs="Times New Roman"/>
          <w:u w:val="single"/>
        </w:rPr>
        <w:t xml:space="preserve"> para lo cual el Tesorero Municipal deberá hacer el correspondiente reintegro al momento de la transferencia, del FODES correspondiente a esta Municipalidad. </w:t>
      </w:r>
      <w:r w:rsidRPr="00B646BC">
        <w:rPr>
          <w:rFonts w:ascii="Times New Roman" w:hAnsi="Times New Roman" w:cs="Times New Roman"/>
          <w:b/>
          <w:u w:val="single"/>
        </w:rPr>
        <w:t>Segundo:</w:t>
      </w:r>
      <w:r w:rsidRPr="00B646BC">
        <w:rPr>
          <w:rFonts w:ascii="Times New Roman" w:hAnsi="Times New Roman" w:cs="Times New Roman"/>
          <w:u w:val="single"/>
        </w:rPr>
        <w:t xml:space="preserve"> Certifíquese y comuníquese para los demás efectos legales correspondientes……………………………………………………………</w:t>
      </w:r>
      <w:r>
        <w:rPr>
          <w:rFonts w:ascii="Times New Roman" w:hAnsi="Times New Roman" w:cs="Times New Roman"/>
          <w:u w:val="single"/>
        </w:rPr>
        <w:t>…………………</w:t>
      </w:r>
    </w:p>
    <w:p w:rsidR="005B30A4" w:rsidRPr="00B646BC" w:rsidRDefault="005B30A4" w:rsidP="005B30A4">
      <w:pPr>
        <w:spacing w:after="0" w:line="240" w:lineRule="auto"/>
        <w:jc w:val="both"/>
        <w:rPr>
          <w:rFonts w:ascii="Times New Roman" w:eastAsia="Gulim" w:hAnsi="Times New Roman" w:cs="Times New Roman"/>
        </w:rPr>
      </w:pPr>
    </w:p>
    <w:p w:rsidR="005B30A4" w:rsidRPr="00B646BC" w:rsidRDefault="005B30A4" w:rsidP="005B30A4">
      <w:pPr>
        <w:jc w:val="both"/>
        <w:rPr>
          <w:rFonts w:ascii="Times New Roman" w:hAnsi="Times New Roman" w:cs="Times New Roman"/>
        </w:rPr>
      </w:pPr>
      <w:r w:rsidRPr="00B646BC">
        <w:rPr>
          <w:rFonts w:ascii="Times New Roman" w:hAnsi="Times New Roman" w:cs="Times New Roman"/>
          <w:b/>
          <w:bCs/>
          <w:u w:val="single"/>
        </w:rPr>
        <w:t xml:space="preserve">ACUERDO NÚMERO CUATRO: </w:t>
      </w:r>
      <w:r w:rsidRPr="00B646BC">
        <w:rPr>
          <w:rFonts w:ascii="Times New Roman" w:hAnsi="Times New Roman" w:cs="Times New Roman"/>
          <w:u w:val="single"/>
        </w:rPr>
        <w:t xml:space="preserve">El Concejo Municipal de la Villa San Luis La Herradura Departamento de la Paz, </w:t>
      </w:r>
      <w:r w:rsidRPr="00B646BC">
        <w:rPr>
          <w:rFonts w:ascii="Times New Roman" w:hAnsi="Times New Roman" w:cs="Times New Roman"/>
          <w:b/>
          <w:u w:val="single"/>
        </w:rPr>
        <w:t>Considerando: a)</w:t>
      </w:r>
      <w:r w:rsidRPr="00B646BC">
        <w:rPr>
          <w:rFonts w:ascii="Times New Roman" w:hAnsi="Times New Roman" w:cs="Times New Roman"/>
          <w:u w:val="single"/>
        </w:rPr>
        <w:t xml:space="preserve"> El Acuerdo Municipal Número doce del acta número treinta y cuatro del 19 de octubre del año dos mil veinte,</w:t>
      </w:r>
      <w:r w:rsidRPr="00B646BC">
        <w:rPr>
          <w:rFonts w:ascii="Times New Roman" w:hAnsi="Times New Roman" w:cs="Times New Roman"/>
        </w:rPr>
        <w:t xml:space="preserve"> en el que entre otras Disposiciones: </w:t>
      </w:r>
      <w:r w:rsidRPr="00B646BC">
        <w:rPr>
          <w:rFonts w:ascii="Times New Roman" w:hAnsi="Times New Roman" w:cs="Times New Roman"/>
          <w:b/>
        </w:rPr>
        <w:t xml:space="preserve">1) </w:t>
      </w:r>
      <w:r w:rsidRPr="00B646BC">
        <w:rPr>
          <w:rFonts w:ascii="Times New Roman" w:hAnsi="Times New Roman" w:cs="Times New Roman"/>
        </w:rPr>
        <w:t xml:space="preserve">Se “Ratifico el estado de cuenta determinado y notificado a la sociedad CEMENTERIO JARDINES DE LOS INOLVIDABLES, S.A. DE C.V.; </w:t>
      </w:r>
      <w:r w:rsidRPr="00B646BC">
        <w:rPr>
          <w:rFonts w:ascii="Times New Roman" w:hAnsi="Times New Roman" w:cs="Times New Roman"/>
          <w:b/>
          <w:bCs/>
        </w:rPr>
        <w:t xml:space="preserve">2) </w:t>
      </w:r>
      <w:r w:rsidRPr="00B646BC">
        <w:rPr>
          <w:rFonts w:ascii="Times New Roman" w:hAnsi="Times New Roman" w:cs="Times New Roman"/>
        </w:rPr>
        <w:t xml:space="preserve">Conceder un plazo de 30 días calendario, a la sociedad CEMENTERIO JARDINES DE LOS INOLVIDABLES, </w:t>
      </w:r>
      <w:r w:rsidRPr="00B646BC">
        <w:rPr>
          <w:rFonts w:ascii="Times New Roman" w:hAnsi="Times New Roman" w:cs="Times New Roman"/>
        </w:rPr>
        <w:lastRenderedPageBreak/>
        <w:t xml:space="preserve">S.A. DE C.V., para que solvente o llegue a un acuerdo de pago para con esta Municipalidad; </w:t>
      </w:r>
      <w:r w:rsidRPr="00B646BC">
        <w:rPr>
          <w:rFonts w:ascii="Times New Roman" w:hAnsi="Times New Roman" w:cs="Times New Roman"/>
          <w:b/>
          <w:bCs/>
        </w:rPr>
        <w:t xml:space="preserve">3) </w:t>
      </w:r>
      <w:r w:rsidRPr="00B646BC">
        <w:rPr>
          <w:rFonts w:ascii="Times New Roman" w:hAnsi="Times New Roman" w:cs="Times New Roman"/>
        </w:rPr>
        <w:t>de vencerse el plazo antes concedido, y de no solventar o formalizar un convenio de pago; se iniciará proceso por la vía judicial, nombrando para el caso a la Licda. Gladis del Carmen Alfaro de Villalta.</w:t>
      </w:r>
      <w:r w:rsidRPr="00B646BC">
        <w:rPr>
          <w:rFonts w:ascii="Times New Roman" w:hAnsi="Times New Roman" w:cs="Times New Roman"/>
          <w:b/>
          <w:u w:val="single"/>
        </w:rPr>
        <w:t>b)</w:t>
      </w:r>
      <w:r w:rsidRPr="00B646BC">
        <w:rPr>
          <w:rFonts w:ascii="Times New Roman" w:hAnsi="Times New Roman" w:cs="Times New Roman"/>
          <w:u w:val="single"/>
        </w:rPr>
        <w:t xml:space="preserve"> El escrito presentado por el Licenciado David Fidencio Ríos Canales, Apoderado Legal de la Sociedad Cementerio Jardines de Los Inolvidables Sociedad Anónima de Capital Variable, que se abrevia CEAN INOLVIDABLES, S.A. DE C.V.</w:t>
      </w:r>
      <w:r w:rsidRPr="00B646BC">
        <w:rPr>
          <w:rFonts w:ascii="Times New Roman" w:hAnsi="Times New Roman" w:cs="Times New Roman"/>
        </w:rPr>
        <w:t xml:space="preserve"> en el quesolicita se revoque la resolución de cobro impugnado que dio origen a este recurso, por ser la misma ilegal e inconstitucional, por cada uno de los motivos expresados en el escrito presentada por la Licenciada Alas Caballero. </w:t>
      </w:r>
      <w:r w:rsidRPr="00B646BC">
        <w:rPr>
          <w:rFonts w:ascii="Times New Roman" w:hAnsi="Times New Roman" w:cs="Times New Roman"/>
          <w:b/>
          <w:u w:val="single"/>
        </w:rPr>
        <w:t>Por Tanto:</w:t>
      </w:r>
      <w:r w:rsidRPr="00B646BC">
        <w:rPr>
          <w:rFonts w:ascii="Times New Roman" w:hAnsi="Times New Roman" w:cs="Times New Roman"/>
        </w:rPr>
        <w:t xml:space="preserve">El Concejo Municipal en uso de sus facultades que le confiere el Código Municipal, la Ley General Tributaria Municipal, y considerando </w:t>
      </w:r>
      <w:r w:rsidRPr="00B646BC">
        <w:rPr>
          <w:rFonts w:ascii="Times New Roman" w:hAnsi="Times New Roman" w:cs="Times New Roman"/>
          <w:b/>
          <w:bCs/>
        </w:rPr>
        <w:t xml:space="preserve">I- </w:t>
      </w:r>
      <w:r w:rsidRPr="00B646BC">
        <w:rPr>
          <w:rFonts w:ascii="Times New Roman" w:hAnsi="Times New Roman" w:cs="Times New Roman"/>
        </w:rPr>
        <w:t>el informe presentado por el Lic. Oscar Armando Montano Chacón, Jefe de Unidad Administrativa Tributaria Municipal, el cual notifica sobre el Recurso de Apelación presentado por parte de la sociedad “Cementerio Jardines de los Inolvidables, S.A. de C.V.”, esto por inconformidad sobre el estado de cuenta de inmueble con fecha diecisiete de septiembre de dos mil veintiuno, y para lo cual solicita se admita el presente Recurso de Apelación por parte de este Concejo Municipal, para continuar con el debido proceso, por lo que este Concejo Municipal.</w:t>
      </w:r>
      <w:r w:rsidRPr="00B646BC">
        <w:rPr>
          <w:rFonts w:ascii="Times New Roman" w:hAnsi="Times New Roman" w:cs="Times New Roman"/>
          <w:b/>
          <w:bCs/>
          <w:u w:val="single"/>
        </w:rPr>
        <w:t>ACUERDA: Primero:</w:t>
      </w:r>
      <w:r w:rsidRPr="00B646BC">
        <w:rPr>
          <w:rFonts w:ascii="Times New Roman" w:hAnsi="Times New Roman" w:cs="Times New Roman"/>
          <w:u w:val="single"/>
        </w:rPr>
        <w:t xml:space="preserve">Admitir el Recurso de Apelación presentado por parte de la sociedad “Cementerio Jardines de los Inolvidables, S.A. de C.V.”, </w:t>
      </w:r>
      <w:r w:rsidRPr="00B646BC">
        <w:rPr>
          <w:rFonts w:ascii="Times New Roman" w:hAnsi="Times New Roman" w:cs="Times New Roman"/>
          <w:b/>
          <w:u w:val="single"/>
        </w:rPr>
        <w:t>Segundo:</w:t>
      </w:r>
      <w:r w:rsidRPr="00B646BC">
        <w:rPr>
          <w:rFonts w:ascii="Times New Roman" w:hAnsi="Times New Roman" w:cs="Times New Roman"/>
          <w:u w:val="single"/>
        </w:rPr>
        <w:t xml:space="preserve"> Autoriza</w:t>
      </w:r>
      <w:r w:rsidRPr="00B646BC">
        <w:rPr>
          <w:rFonts w:ascii="Times New Roman" w:hAnsi="Times New Roman" w:cs="Times New Roman"/>
          <w:b/>
          <w:bCs/>
          <w:u w:val="single"/>
        </w:rPr>
        <w:t xml:space="preserve">r a </w:t>
      </w:r>
      <w:r w:rsidRPr="00B646BC">
        <w:rPr>
          <w:rFonts w:ascii="Times New Roman" w:hAnsi="Times New Roman" w:cs="Times New Roman"/>
          <w:u w:val="single"/>
        </w:rPr>
        <w:t xml:space="preserve">Licda. Gladis del Carmen Alfaro de Villalta, Asesora Jurídica Municipal, para que en nombre y representación del Concejo Municipal de esta Villa, inicie el proceso de cobro por la vía judicial a la Sociedad Cementerio Jardines de Los Inolvidables Sociedad Anónima de Capital Variable, que se abrevia CEAN INOLVIDABLES, S.A. DE C.V. </w:t>
      </w:r>
      <w:r w:rsidRPr="00B646BC">
        <w:rPr>
          <w:rFonts w:ascii="Times New Roman" w:hAnsi="Times New Roman" w:cs="Times New Roman"/>
          <w:b/>
          <w:u w:val="single"/>
        </w:rPr>
        <w:t>Tercero:</w:t>
      </w:r>
      <w:r w:rsidRPr="00B646BC">
        <w:rPr>
          <w:rFonts w:ascii="Times New Roman" w:hAnsi="Times New Roman" w:cs="Times New Roman"/>
          <w:u w:val="single"/>
        </w:rPr>
        <w:t xml:space="preserve"> Certifíquese y comuníquese para los demás efectos legales correspondientes……</w:t>
      </w:r>
    </w:p>
    <w:p w:rsidR="005B30A4" w:rsidRDefault="005B30A4" w:rsidP="005B30A4">
      <w:pPr>
        <w:spacing w:after="0" w:line="240" w:lineRule="auto"/>
        <w:jc w:val="both"/>
        <w:rPr>
          <w:rFonts w:ascii="Times New Roman" w:hAnsi="Times New Roman" w:cs="Times New Roman"/>
          <w:b/>
          <w:bCs/>
          <w:u w:val="single"/>
        </w:rPr>
      </w:pPr>
    </w:p>
    <w:p w:rsidR="005B30A4" w:rsidRPr="002B3E8E" w:rsidRDefault="005B30A4" w:rsidP="005B30A4">
      <w:pPr>
        <w:spacing w:after="0" w:line="240" w:lineRule="auto"/>
        <w:jc w:val="both"/>
        <w:rPr>
          <w:rFonts w:ascii="Times New Roman" w:hAnsi="Times New Roman" w:cs="Times New Roman"/>
        </w:rPr>
      </w:pPr>
      <w:r w:rsidRPr="002B3E8E">
        <w:rPr>
          <w:rFonts w:ascii="Times New Roman" w:hAnsi="Times New Roman" w:cs="Times New Roman"/>
          <w:b/>
          <w:bCs/>
          <w:u w:val="single"/>
        </w:rPr>
        <w:t xml:space="preserve">ACUERDO NUMERO CINCO: </w:t>
      </w:r>
      <w:r w:rsidRPr="002B3E8E">
        <w:rPr>
          <w:rFonts w:ascii="Times New Roman" w:hAnsi="Times New Roman" w:cs="Times New Roman"/>
          <w:u w:val="single"/>
        </w:rPr>
        <w:t>El Concejo Municipal de la Villa San Luis La Herradura Departamento de La Paz.</w:t>
      </w:r>
      <w:r w:rsidRPr="002B3E8E">
        <w:rPr>
          <w:rFonts w:ascii="Times New Roman" w:hAnsi="Times New Roman" w:cs="Times New Roman"/>
          <w:b/>
          <w:u w:val="single"/>
        </w:rPr>
        <w:t xml:space="preserve"> Considerando: </w:t>
      </w:r>
      <w:r w:rsidRPr="002B3E8E">
        <w:rPr>
          <w:rFonts w:ascii="Times New Roman" w:hAnsi="Times New Roman" w:cs="Times New Roman"/>
          <w:b/>
          <w:bCs/>
          <w:u w:val="single"/>
        </w:rPr>
        <w:t>I</w:t>
      </w:r>
      <w:r w:rsidRPr="002B3E8E">
        <w:rPr>
          <w:rFonts w:ascii="Times New Roman" w:hAnsi="Times New Roman" w:cs="Times New Roman"/>
          <w:bCs/>
          <w:u w:val="single"/>
        </w:rPr>
        <w:t xml:space="preserve">- </w:t>
      </w:r>
      <w:r w:rsidRPr="002B3E8E">
        <w:rPr>
          <w:rFonts w:ascii="Times New Roman" w:hAnsi="Times New Roman" w:cs="Times New Roman"/>
          <w:u w:val="single"/>
        </w:rPr>
        <w:t xml:space="preserve">Que mediante nota por parte de la Jefa Interina de la Unidad Presupuestaria Municipal señorita Gabi de Jesús Elías Rivas; </w:t>
      </w:r>
      <w:r w:rsidRPr="002B3E8E">
        <w:rPr>
          <w:rFonts w:ascii="Times New Roman" w:hAnsi="Times New Roman" w:cs="Times New Roman"/>
        </w:rPr>
        <w:t xml:space="preserve">en la que solicita la Autorización para la incorporación del saldo de la cuenta número 100-310-700410-9; “Conformado y Balastado de calle principal que conduce de Caserío El Ranchón a Cantón La Calzada, en Isla La Calzada, San Luis La Herradura, al Presupuesto 2021, por la cantidad de: Trece mil ciento veintinueve 73/100 Dólares Estadounidenses ($ 13,129.73); se autorice la Reforma para la incorporación del saldo de la cuenta antes mencionada con Fuente de Financiamiento Prestamos Internos y Fuente de Recurso Prestamos Internos al Presupuesto 2021. </w:t>
      </w:r>
      <w:r w:rsidRPr="002B3E8E">
        <w:rPr>
          <w:rFonts w:ascii="Times New Roman" w:hAnsi="Times New Roman" w:cs="Times New Roman"/>
          <w:b/>
          <w:u w:val="single"/>
        </w:rPr>
        <w:t>Por Tanto</w:t>
      </w:r>
      <w:r w:rsidRPr="002B3E8E">
        <w:rPr>
          <w:rFonts w:ascii="Times New Roman" w:hAnsi="Times New Roman" w:cs="Times New Roman"/>
        </w:rPr>
        <w:t>: El Concejo Municipal en uso de sus Facultades que le confiere El Código Municipal</w:t>
      </w:r>
      <w:r w:rsidRPr="002B3E8E">
        <w:rPr>
          <w:rFonts w:ascii="Times New Roman" w:hAnsi="Times New Roman" w:cs="Times New Roman"/>
          <w:b/>
          <w:u w:val="single"/>
        </w:rPr>
        <w:t>ACUERDA: Primero…</w:t>
      </w:r>
      <w:r>
        <w:rPr>
          <w:rFonts w:ascii="Times New Roman" w:hAnsi="Times New Roman" w:cs="Times New Roman"/>
          <w:b/>
          <w:u w:val="single"/>
        </w:rPr>
        <w:t>……………………………………..</w:t>
      </w:r>
    </w:p>
    <w:p w:rsidR="005B30A4" w:rsidRDefault="005B30A4" w:rsidP="005B30A4">
      <w:pPr>
        <w:spacing w:after="0" w:line="240" w:lineRule="auto"/>
        <w:jc w:val="both"/>
        <w:rPr>
          <w:rFonts w:ascii="Times New Roman" w:eastAsia="Times New Roman" w:hAnsi="Times New Roman" w:cs="Times New Roman"/>
          <w:b/>
          <w:lang w:val="es-ES" w:eastAsia="es-SV"/>
        </w:rPr>
      </w:pPr>
    </w:p>
    <w:p w:rsidR="005B30A4" w:rsidRPr="002B3E8E" w:rsidRDefault="005B30A4" w:rsidP="005B30A4">
      <w:pPr>
        <w:spacing w:after="0" w:line="240" w:lineRule="auto"/>
        <w:jc w:val="both"/>
        <w:rPr>
          <w:rFonts w:ascii="Times New Roman" w:eastAsia="Times New Roman" w:hAnsi="Times New Roman" w:cs="Times New Roman"/>
          <w:b/>
          <w:lang w:val="es-ES" w:eastAsia="es-SV"/>
        </w:rPr>
      </w:pPr>
    </w:p>
    <w:p w:rsidR="005B30A4" w:rsidRPr="002B3E8E" w:rsidRDefault="005B30A4" w:rsidP="005B30A4">
      <w:pPr>
        <w:spacing w:after="120" w:line="276" w:lineRule="auto"/>
        <w:jc w:val="both"/>
        <w:rPr>
          <w:rFonts w:ascii="Times New Roman" w:eastAsia="Times New Roman" w:hAnsi="Times New Roman" w:cs="Times New Roman"/>
          <w:lang w:val="es-ES" w:eastAsia="es-SV"/>
        </w:rPr>
      </w:pPr>
      <w:r w:rsidRPr="002B3E8E">
        <w:rPr>
          <w:rFonts w:ascii="Times New Roman" w:eastAsia="Times New Roman" w:hAnsi="Times New Roman" w:cs="Times New Roman"/>
          <w:b/>
          <w:lang w:val="es-ES" w:eastAsia="es-SV"/>
        </w:rPr>
        <w:t>DECRETA: REFORMAR EL PRESUPUESTO MUNICIPAL VIGENTE ASÍ:</w:t>
      </w:r>
    </w:p>
    <w:p w:rsidR="005B30A4" w:rsidRDefault="005B30A4" w:rsidP="005B30A4">
      <w:pPr>
        <w:spacing w:after="120" w:line="276" w:lineRule="auto"/>
        <w:jc w:val="both"/>
        <w:rPr>
          <w:rFonts w:ascii="Times New Roman" w:eastAsia="Times New Roman" w:hAnsi="Times New Roman" w:cs="Times New Roman"/>
          <w:lang w:val="es-ES" w:eastAsia="es-SV"/>
        </w:rPr>
      </w:pPr>
    </w:p>
    <w:p w:rsidR="005B30A4" w:rsidRPr="002B3E8E" w:rsidRDefault="005B30A4" w:rsidP="005B30A4">
      <w:pPr>
        <w:spacing w:after="120" w:line="276" w:lineRule="auto"/>
        <w:jc w:val="both"/>
        <w:rPr>
          <w:rFonts w:ascii="Times New Roman" w:eastAsia="Times New Roman" w:hAnsi="Times New Roman" w:cs="Times New Roman"/>
          <w:lang w:val="es-ES" w:eastAsia="es-SV"/>
        </w:rPr>
      </w:pPr>
      <w:r w:rsidRPr="002B3E8E">
        <w:rPr>
          <w:rFonts w:ascii="Times New Roman" w:eastAsia="Times New Roman" w:hAnsi="Times New Roman" w:cs="Times New Roman"/>
          <w:lang w:val="es-ES" w:eastAsia="es-SV"/>
        </w:rPr>
        <w:t>ART. 1 SE AUTORIZA LA REFORMA AL PRESUPUESTO MUNICIPAL VIGENTE EN LA PARTE DE INGRESOS DE LA SIGUIENTE MANERA:</w:t>
      </w:r>
    </w:p>
    <w:p w:rsidR="005B30A4" w:rsidRDefault="005B30A4" w:rsidP="005B30A4">
      <w:pPr>
        <w:pStyle w:val="Sinespaciado"/>
        <w:jc w:val="center"/>
        <w:rPr>
          <w:rFonts w:ascii="Times New Roman" w:hAnsi="Times New Roman"/>
          <w:b/>
          <w:i/>
          <w:sz w:val="22"/>
        </w:rPr>
      </w:pPr>
    </w:p>
    <w:p w:rsidR="005B30A4" w:rsidRPr="002B3E8E" w:rsidRDefault="005B30A4" w:rsidP="005B30A4">
      <w:pPr>
        <w:pStyle w:val="Sinespaciado"/>
        <w:jc w:val="center"/>
        <w:rPr>
          <w:rFonts w:ascii="Times New Roman" w:hAnsi="Times New Roman"/>
          <w:b/>
          <w:i/>
          <w:sz w:val="22"/>
        </w:rPr>
      </w:pPr>
      <w:r w:rsidRPr="002B3E8E">
        <w:rPr>
          <w:rFonts w:ascii="Times New Roman" w:hAnsi="Times New Roman"/>
          <w:b/>
          <w:i/>
          <w:sz w:val="22"/>
        </w:rPr>
        <w:t>PRESTAMOS INTERNOS: FUENTE DE RECURSOS PRESTAMOS INTERNOS AL PRESUPUESTO 2021.</w:t>
      </w:r>
    </w:p>
    <w:p w:rsidR="005B30A4" w:rsidRPr="00DE4F31" w:rsidRDefault="005B30A4" w:rsidP="005B30A4">
      <w:pPr>
        <w:jc w:val="center"/>
        <w:rPr>
          <w:b/>
          <w:color w:val="0000CC"/>
          <w:sz w:val="24"/>
          <w:szCs w:val="24"/>
        </w:rPr>
      </w:pPr>
    </w:p>
    <w:tbl>
      <w:tblPr>
        <w:tblpPr w:leftFromText="141" w:rightFromText="141" w:horzAnchor="margin" w:tblpXSpec="center" w:tblpY="-810"/>
        <w:tblW w:w="9110" w:type="dxa"/>
        <w:tblCellMar>
          <w:left w:w="70" w:type="dxa"/>
          <w:right w:w="70" w:type="dxa"/>
        </w:tblCellMar>
        <w:tblLook w:val="04A0"/>
      </w:tblPr>
      <w:tblGrid>
        <w:gridCol w:w="738"/>
        <w:gridCol w:w="3817"/>
        <w:gridCol w:w="1708"/>
        <w:gridCol w:w="1281"/>
        <w:gridCol w:w="1566"/>
      </w:tblGrid>
      <w:tr w:rsidR="005B30A4" w:rsidRPr="000F3607" w:rsidTr="006B4D3E">
        <w:trPr>
          <w:trHeight w:val="247"/>
        </w:trPr>
        <w:tc>
          <w:tcPr>
            <w:tcW w:w="9110" w:type="dxa"/>
            <w:gridSpan w:val="5"/>
            <w:tcBorders>
              <w:top w:val="nil"/>
              <w:left w:val="nil"/>
              <w:bottom w:val="nil"/>
              <w:right w:val="nil"/>
            </w:tcBorders>
            <w:shd w:val="clear" w:color="auto" w:fill="auto"/>
            <w:noWrap/>
            <w:vAlign w:val="bottom"/>
            <w:hideMark/>
          </w:tcPr>
          <w:p w:rsidR="005B30A4" w:rsidRPr="000F3607" w:rsidRDefault="005B30A4" w:rsidP="006B4D3E">
            <w:pPr>
              <w:spacing w:after="0" w:line="240" w:lineRule="auto"/>
              <w:jc w:val="center"/>
              <w:rPr>
                <w:rFonts w:ascii="Arial" w:eastAsia="Times New Roman" w:hAnsi="Arial" w:cs="Arial"/>
                <w:b/>
                <w:bCs/>
                <w:sz w:val="16"/>
                <w:szCs w:val="18"/>
                <w:lang w:eastAsia="es-SV"/>
              </w:rPr>
            </w:pPr>
            <w:r w:rsidRPr="000F3607">
              <w:rPr>
                <w:rFonts w:ascii="Arial" w:eastAsia="Times New Roman" w:hAnsi="Arial" w:cs="Arial"/>
                <w:b/>
                <w:bCs/>
                <w:sz w:val="16"/>
                <w:szCs w:val="18"/>
                <w:lang w:eastAsia="es-SV"/>
              </w:rPr>
              <w:t>INSTITUCIÓN: ALCALDÍA MUNICIPAL DE SAN LUIS LA HERRADURA, DEPARTAMENTO DE LA PAZ</w:t>
            </w:r>
          </w:p>
        </w:tc>
      </w:tr>
      <w:tr w:rsidR="005B30A4" w:rsidRPr="000F3607" w:rsidTr="006B4D3E">
        <w:trPr>
          <w:trHeight w:val="306"/>
        </w:trPr>
        <w:tc>
          <w:tcPr>
            <w:tcW w:w="9110" w:type="dxa"/>
            <w:gridSpan w:val="5"/>
            <w:tcBorders>
              <w:top w:val="nil"/>
              <w:left w:val="nil"/>
              <w:bottom w:val="nil"/>
              <w:right w:val="nil"/>
            </w:tcBorders>
            <w:shd w:val="clear" w:color="auto" w:fill="auto"/>
            <w:noWrap/>
            <w:vAlign w:val="bottom"/>
            <w:hideMark/>
          </w:tcPr>
          <w:p w:rsidR="005B30A4" w:rsidRPr="000F3607" w:rsidRDefault="005B30A4" w:rsidP="006B4D3E">
            <w:pPr>
              <w:spacing w:after="0" w:line="240" w:lineRule="auto"/>
              <w:jc w:val="center"/>
              <w:rPr>
                <w:rFonts w:ascii="Arial" w:eastAsia="Times New Roman" w:hAnsi="Arial" w:cs="Arial"/>
                <w:b/>
                <w:bCs/>
                <w:sz w:val="16"/>
                <w:szCs w:val="24"/>
                <w:lang w:eastAsia="es-SV"/>
              </w:rPr>
            </w:pPr>
            <w:r w:rsidRPr="000F3607">
              <w:rPr>
                <w:rFonts w:ascii="Arial" w:eastAsia="Times New Roman" w:hAnsi="Arial" w:cs="Arial"/>
                <w:b/>
                <w:bCs/>
                <w:sz w:val="16"/>
                <w:szCs w:val="24"/>
                <w:lang w:eastAsia="es-SV"/>
              </w:rPr>
              <w:t>EJERCICIO FISCAL 2021</w:t>
            </w:r>
          </w:p>
        </w:tc>
      </w:tr>
      <w:tr w:rsidR="005B30A4"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5B30A4" w:rsidRPr="000F3607" w:rsidRDefault="005B30A4"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CUADRO RESUMEN</w:t>
            </w:r>
          </w:p>
        </w:tc>
      </w:tr>
      <w:tr w:rsidR="005B30A4"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5B30A4" w:rsidRPr="000F3607" w:rsidRDefault="005B30A4"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lastRenderedPageBreak/>
              <w:t xml:space="preserve">REFORMA AL PRESUPUESTO DE INGRESOS </w:t>
            </w:r>
            <w:r>
              <w:rPr>
                <w:rFonts w:ascii="Arial" w:eastAsia="Times New Roman" w:hAnsi="Arial" w:cs="Arial"/>
                <w:b/>
                <w:bCs/>
                <w:sz w:val="16"/>
                <w:lang w:eastAsia="es-SV"/>
              </w:rPr>
              <w:t>PRESTAMOS INTERNOS</w:t>
            </w:r>
          </w:p>
        </w:tc>
      </w:tr>
      <w:tr w:rsidR="005B30A4"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5B30A4" w:rsidRPr="000F3607" w:rsidRDefault="005B30A4"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CLASIFICACIONES POR RUBRO DE INGRESOS</w:t>
            </w:r>
          </w:p>
        </w:tc>
      </w:tr>
      <w:tr w:rsidR="005B30A4" w:rsidRPr="000F3607" w:rsidTr="006B4D3E">
        <w:trPr>
          <w:trHeight w:val="247"/>
        </w:trPr>
        <w:tc>
          <w:tcPr>
            <w:tcW w:w="9110" w:type="dxa"/>
            <w:gridSpan w:val="5"/>
            <w:tcBorders>
              <w:top w:val="nil"/>
              <w:left w:val="single" w:sz="4" w:space="0" w:color="auto"/>
              <w:bottom w:val="nil"/>
              <w:right w:val="nil"/>
            </w:tcBorders>
            <w:shd w:val="clear" w:color="auto" w:fill="auto"/>
            <w:noWrap/>
            <w:vAlign w:val="bottom"/>
            <w:hideMark/>
          </w:tcPr>
          <w:p w:rsidR="005B30A4" w:rsidRPr="000F3607" w:rsidRDefault="005B30A4" w:rsidP="006B4D3E">
            <w:pPr>
              <w:spacing w:after="0" w:line="240" w:lineRule="auto"/>
              <w:jc w:val="center"/>
              <w:rPr>
                <w:rFonts w:ascii="Arial" w:eastAsia="Times New Roman" w:hAnsi="Arial" w:cs="Arial"/>
                <w:i/>
                <w:iCs/>
                <w:sz w:val="16"/>
                <w:szCs w:val="16"/>
                <w:lang w:eastAsia="es-SV"/>
              </w:rPr>
            </w:pPr>
            <w:r w:rsidRPr="000F3607">
              <w:rPr>
                <w:rFonts w:ascii="Arial" w:eastAsia="Times New Roman" w:hAnsi="Arial" w:cs="Arial"/>
                <w:i/>
                <w:iCs/>
                <w:sz w:val="16"/>
                <w:szCs w:val="16"/>
                <w:lang w:eastAsia="es-SV"/>
              </w:rPr>
              <w:t>En Dólares de Estados Unidos de América.</w:t>
            </w:r>
          </w:p>
        </w:tc>
      </w:tr>
      <w:tr w:rsidR="005B30A4" w:rsidRPr="000F3607" w:rsidTr="006B4D3E">
        <w:trPr>
          <w:trHeight w:val="247"/>
        </w:trPr>
        <w:tc>
          <w:tcPr>
            <w:tcW w:w="738" w:type="dxa"/>
            <w:tcBorders>
              <w:top w:val="single" w:sz="8" w:space="0" w:color="auto"/>
              <w:left w:val="single" w:sz="8" w:space="0" w:color="auto"/>
              <w:bottom w:val="single" w:sz="8" w:space="0" w:color="auto"/>
              <w:right w:val="nil"/>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 </w:t>
            </w:r>
          </w:p>
        </w:tc>
        <w:tc>
          <w:tcPr>
            <w:tcW w:w="3817" w:type="dxa"/>
            <w:tcBorders>
              <w:top w:val="single" w:sz="8" w:space="0" w:color="auto"/>
              <w:left w:val="single" w:sz="8" w:space="0" w:color="auto"/>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 </w:t>
            </w:r>
          </w:p>
        </w:tc>
        <w:tc>
          <w:tcPr>
            <w:tcW w:w="1708" w:type="dxa"/>
            <w:tcBorders>
              <w:top w:val="single" w:sz="8" w:space="0" w:color="auto"/>
              <w:left w:val="nil"/>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APROBADO</w:t>
            </w:r>
          </w:p>
        </w:tc>
        <w:tc>
          <w:tcPr>
            <w:tcW w:w="1281" w:type="dxa"/>
            <w:tcBorders>
              <w:top w:val="single" w:sz="8" w:space="0" w:color="auto"/>
              <w:left w:val="nil"/>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REFORMA</w:t>
            </w:r>
          </w:p>
        </w:tc>
        <w:tc>
          <w:tcPr>
            <w:tcW w:w="1565" w:type="dxa"/>
            <w:tcBorders>
              <w:top w:val="single" w:sz="8" w:space="0" w:color="auto"/>
              <w:left w:val="nil"/>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MODIFICADO</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11</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IMPUESTOS</w:t>
            </w:r>
          </w:p>
        </w:tc>
        <w:tc>
          <w:tcPr>
            <w:tcW w:w="1708"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183,290.00 </w:t>
            </w:r>
          </w:p>
        </w:tc>
        <w:tc>
          <w:tcPr>
            <w:tcW w:w="1281"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183,290.00 </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12</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TASAS Y DERECHOS</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975,879.00</w:t>
            </w:r>
          </w:p>
        </w:tc>
        <w:tc>
          <w:tcPr>
            <w:tcW w:w="1281"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975,879.00</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14</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VENTA DE BIENES Y SERVICIOS</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82,497.00</w:t>
            </w:r>
          </w:p>
        </w:tc>
        <w:tc>
          <w:tcPr>
            <w:tcW w:w="1281"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82,497.00 </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15</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INGRESOS FINANCIEROS Y OTROS</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65,777.00</w:t>
            </w:r>
          </w:p>
        </w:tc>
        <w:tc>
          <w:tcPr>
            <w:tcW w:w="1281"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65,777.00</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16</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TRANSFERENCIAS CORRIENTES  </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542,571.00 </w:t>
            </w:r>
          </w:p>
        </w:tc>
        <w:tc>
          <w:tcPr>
            <w:tcW w:w="1281"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w:t>
            </w:r>
          </w:p>
        </w:tc>
        <w:tc>
          <w:tcPr>
            <w:tcW w:w="1565"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542,571.00 </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22</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TRANSFERENCIAS DE CAPITAL</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2,170,283.74</w:t>
            </w:r>
          </w:p>
        </w:tc>
        <w:tc>
          <w:tcPr>
            <w:tcW w:w="1281"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w:t>
            </w:r>
          </w:p>
        </w:tc>
        <w:tc>
          <w:tcPr>
            <w:tcW w:w="1565"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2,170,283.74</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32</w:t>
            </w:r>
          </w:p>
        </w:tc>
        <w:tc>
          <w:tcPr>
            <w:tcW w:w="3817"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SALDOS DE AÑOS ANTERIORES</w:t>
            </w:r>
          </w:p>
        </w:tc>
        <w:tc>
          <w:tcPr>
            <w:tcW w:w="1708" w:type="dxa"/>
            <w:tcBorders>
              <w:top w:val="nil"/>
              <w:left w:val="nil"/>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2,395,919.44 </w:t>
            </w:r>
          </w:p>
        </w:tc>
        <w:tc>
          <w:tcPr>
            <w:tcW w:w="1281" w:type="dxa"/>
            <w:tcBorders>
              <w:top w:val="nil"/>
              <w:left w:val="nil"/>
              <w:bottom w:val="nil"/>
              <w:right w:val="single" w:sz="8" w:space="0" w:color="auto"/>
            </w:tcBorders>
            <w:shd w:val="clear" w:color="auto" w:fill="auto"/>
            <w:noWrap/>
            <w:vAlign w:val="center"/>
            <w:hideMark/>
          </w:tcPr>
          <w:p w:rsidR="005B30A4" w:rsidRPr="00BB2EA6" w:rsidRDefault="005B30A4" w:rsidP="006B4D3E">
            <w:pPr>
              <w:spacing w:after="0" w:line="240" w:lineRule="auto"/>
              <w:rPr>
                <w:rFonts w:ascii="Arial" w:eastAsia="Times New Roman" w:hAnsi="Arial" w:cs="Arial"/>
                <w:b/>
                <w:bCs/>
                <w:sz w:val="16"/>
                <w:szCs w:val="20"/>
                <w:lang w:eastAsia="es-SV"/>
              </w:rPr>
            </w:pPr>
            <w:r>
              <w:rPr>
                <w:rFonts w:ascii="Arial" w:eastAsia="Times New Roman" w:hAnsi="Arial" w:cs="Arial"/>
                <w:b/>
                <w:bCs/>
                <w:sz w:val="16"/>
                <w:szCs w:val="20"/>
                <w:lang w:eastAsia="es-SV"/>
              </w:rPr>
              <w:t>$  13,129.73</w:t>
            </w:r>
          </w:p>
        </w:tc>
        <w:tc>
          <w:tcPr>
            <w:tcW w:w="1565" w:type="dxa"/>
            <w:tcBorders>
              <w:top w:val="nil"/>
              <w:left w:val="nil"/>
              <w:bottom w:val="nil"/>
              <w:right w:val="single" w:sz="8" w:space="0" w:color="auto"/>
            </w:tcBorders>
            <w:shd w:val="clear" w:color="auto" w:fill="auto"/>
            <w:noWrap/>
            <w:vAlign w:val="center"/>
            <w:hideMark/>
          </w:tcPr>
          <w:p w:rsidR="005B30A4" w:rsidRPr="00BB2EA6" w:rsidRDefault="005B30A4"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     2,4</w:t>
            </w:r>
            <w:r>
              <w:rPr>
                <w:rFonts w:ascii="Arial" w:eastAsia="Times New Roman" w:hAnsi="Arial" w:cs="Arial"/>
                <w:b/>
                <w:bCs/>
                <w:sz w:val="16"/>
                <w:szCs w:val="20"/>
                <w:lang w:eastAsia="es-SV"/>
              </w:rPr>
              <w:t>24,677.76</w:t>
            </w:r>
          </w:p>
        </w:tc>
      </w:tr>
      <w:tr w:rsidR="005B30A4" w:rsidRPr="000F3607" w:rsidTr="006B4D3E">
        <w:trPr>
          <w:trHeight w:val="247"/>
        </w:trPr>
        <w:tc>
          <w:tcPr>
            <w:tcW w:w="738" w:type="dxa"/>
            <w:tcBorders>
              <w:top w:val="nil"/>
              <w:left w:val="single" w:sz="8" w:space="0" w:color="auto"/>
              <w:bottom w:val="single" w:sz="8" w:space="0" w:color="auto"/>
              <w:right w:val="single" w:sz="8" w:space="0" w:color="auto"/>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nil"/>
              <w:bottom w:val="single" w:sz="8" w:space="0" w:color="auto"/>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708" w:type="dxa"/>
            <w:tcBorders>
              <w:top w:val="nil"/>
              <w:left w:val="nil"/>
              <w:bottom w:val="single" w:sz="8" w:space="0" w:color="auto"/>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281" w:type="dxa"/>
            <w:tcBorders>
              <w:top w:val="nil"/>
              <w:left w:val="nil"/>
              <w:bottom w:val="single" w:sz="8" w:space="0" w:color="auto"/>
              <w:right w:val="single" w:sz="8" w:space="0" w:color="auto"/>
            </w:tcBorders>
            <w:shd w:val="clear" w:color="auto" w:fill="auto"/>
            <w:noWrap/>
            <w:vAlign w:val="center"/>
            <w:hideMark/>
          </w:tcPr>
          <w:p w:rsidR="005B30A4" w:rsidRPr="00BB2EA6" w:rsidRDefault="005B30A4" w:rsidP="006B4D3E">
            <w:pPr>
              <w:spacing w:after="0" w:line="240" w:lineRule="auto"/>
              <w:rPr>
                <w:rFonts w:ascii="Arial" w:eastAsia="Times New Roman" w:hAnsi="Arial" w:cs="Arial"/>
                <w:sz w:val="16"/>
                <w:szCs w:val="20"/>
                <w:lang w:eastAsia="es-SV"/>
              </w:rPr>
            </w:pPr>
            <w:r w:rsidRPr="00BB2EA6">
              <w:rPr>
                <w:rFonts w:ascii="Arial" w:eastAsia="Times New Roman" w:hAnsi="Arial" w:cs="Arial"/>
                <w:sz w:val="16"/>
                <w:szCs w:val="20"/>
                <w:lang w:eastAsia="es-SV"/>
              </w:rPr>
              <w:t> </w:t>
            </w:r>
          </w:p>
        </w:tc>
        <w:tc>
          <w:tcPr>
            <w:tcW w:w="1565" w:type="dxa"/>
            <w:tcBorders>
              <w:top w:val="nil"/>
              <w:left w:val="nil"/>
              <w:bottom w:val="single" w:sz="8" w:space="0" w:color="auto"/>
              <w:right w:val="single" w:sz="8" w:space="0" w:color="auto"/>
            </w:tcBorders>
            <w:shd w:val="clear" w:color="auto" w:fill="auto"/>
            <w:noWrap/>
            <w:vAlign w:val="center"/>
            <w:hideMark/>
          </w:tcPr>
          <w:p w:rsidR="005B30A4" w:rsidRPr="00BB2EA6" w:rsidRDefault="005B30A4" w:rsidP="006B4D3E">
            <w:pPr>
              <w:spacing w:after="0" w:line="240" w:lineRule="auto"/>
              <w:rPr>
                <w:rFonts w:ascii="Arial" w:eastAsia="Times New Roman" w:hAnsi="Arial" w:cs="Arial"/>
                <w:sz w:val="16"/>
                <w:szCs w:val="20"/>
                <w:lang w:eastAsia="es-SV"/>
              </w:rPr>
            </w:pPr>
            <w:r w:rsidRPr="00BB2EA6">
              <w:rPr>
                <w:rFonts w:ascii="Arial" w:eastAsia="Times New Roman" w:hAnsi="Arial" w:cs="Arial"/>
                <w:sz w:val="16"/>
                <w:szCs w:val="20"/>
                <w:lang w:eastAsia="es-SV"/>
              </w:rPr>
              <w:t> </w:t>
            </w:r>
          </w:p>
        </w:tc>
      </w:tr>
      <w:tr w:rsidR="005B30A4" w:rsidRPr="000F3607" w:rsidTr="006B4D3E">
        <w:trPr>
          <w:trHeight w:val="256"/>
        </w:trPr>
        <w:tc>
          <w:tcPr>
            <w:tcW w:w="738" w:type="dxa"/>
            <w:tcBorders>
              <w:top w:val="nil"/>
              <w:left w:val="single" w:sz="8" w:space="0" w:color="auto"/>
              <w:bottom w:val="single" w:sz="8" w:space="0" w:color="auto"/>
              <w:right w:val="nil"/>
            </w:tcBorders>
            <w:shd w:val="clear" w:color="auto" w:fill="92CDDC" w:themeFill="accent5" w:themeFillTint="99"/>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single" w:sz="8" w:space="0" w:color="auto"/>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TOTAL</w:t>
            </w:r>
          </w:p>
        </w:tc>
        <w:tc>
          <w:tcPr>
            <w:tcW w:w="1708" w:type="dxa"/>
            <w:tcBorders>
              <w:top w:val="nil"/>
              <w:left w:val="nil"/>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6,416,217.18 </w:t>
            </w:r>
          </w:p>
        </w:tc>
        <w:tc>
          <w:tcPr>
            <w:tcW w:w="1281" w:type="dxa"/>
            <w:tcBorders>
              <w:top w:val="nil"/>
              <w:left w:val="nil"/>
              <w:bottom w:val="single" w:sz="8" w:space="0" w:color="auto"/>
              <w:right w:val="single" w:sz="8" w:space="0" w:color="auto"/>
            </w:tcBorders>
            <w:shd w:val="clear" w:color="auto" w:fill="92CDDC" w:themeFill="accent5" w:themeFillTint="99"/>
            <w:noWrap/>
            <w:vAlign w:val="center"/>
            <w:hideMark/>
          </w:tcPr>
          <w:p w:rsidR="005B30A4" w:rsidRPr="00BB2EA6" w:rsidRDefault="005B30A4"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1</w:t>
            </w:r>
            <w:r>
              <w:rPr>
                <w:rFonts w:ascii="Arial" w:eastAsia="Times New Roman" w:hAnsi="Arial" w:cs="Arial"/>
                <w:b/>
                <w:bCs/>
                <w:sz w:val="16"/>
                <w:szCs w:val="20"/>
                <w:lang w:eastAsia="es-SV"/>
              </w:rPr>
              <w:t>3,129.73</w:t>
            </w:r>
          </w:p>
        </w:tc>
        <w:tc>
          <w:tcPr>
            <w:tcW w:w="1565" w:type="dxa"/>
            <w:tcBorders>
              <w:top w:val="nil"/>
              <w:left w:val="nil"/>
              <w:bottom w:val="single" w:sz="8" w:space="0" w:color="auto"/>
              <w:right w:val="single" w:sz="8" w:space="0" w:color="auto"/>
            </w:tcBorders>
            <w:shd w:val="clear" w:color="auto" w:fill="92CDDC" w:themeFill="accent5" w:themeFillTint="99"/>
            <w:noWrap/>
            <w:vAlign w:val="center"/>
            <w:hideMark/>
          </w:tcPr>
          <w:p w:rsidR="005B30A4" w:rsidRPr="00BB2EA6" w:rsidRDefault="005B30A4"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     6,4</w:t>
            </w:r>
            <w:r>
              <w:rPr>
                <w:rFonts w:ascii="Arial" w:eastAsia="Times New Roman" w:hAnsi="Arial" w:cs="Arial"/>
                <w:b/>
                <w:bCs/>
                <w:sz w:val="16"/>
                <w:szCs w:val="20"/>
                <w:lang w:eastAsia="es-SV"/>
              </w:rPr>
              <w:t>44,975.50</w:t>
            </w:r>
          </w:p>
        </w:tc>
      </w:tr>
      <w:tr w:rsidR="005B30A4" w:rsidRPr="000F3607" w:rsidTr="006B4D3E">
        <w:trPr>
          <w:trHeight w:val="247"/>
        </w:trPr>
        <w:tc>
          <w:tcPr>
            <w:tcW w:w="738"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c>
          <w:tcPr>
            <w:tcW w:w="3817"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c>
          <w:tcPr>
            <w:tcW w:w="1708"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c>
          <w:tcPr>
            <w:tcW w:w="1281"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c>
          <w:tcPr>
            <w:tcW w:w="1565"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r>
      <w:tr w:rsidR="005B30A4" w:rsidRPr="000F3607" w:rsidTr="006B4D3E">
        <w:trPr>
          <w:trHeight w:val="247"/>
        </w:trPr>
        <w:tc>
          <w:tcPr>
            <w:tcW w:w="738"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c>
          <w:tcPr>
            <w:tcW w:w="3817"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c>
          <w:tcPr>
            <w:tcW w:w="1708"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c>
          <w:tcPr>
            <w:tcW w:w="1281"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c>
          <w:tcPr>
            <w:tcW w:w="1565" w:type="dxa"/>
            <w:tcBorders>
              <w:top w:val="nil"/>
              <w:left w:val="nil"/>
              <w:bottom w:val="nil"/>
              <w:right w:val="nil"/>
            </w:tcBorders>
            <w:shd w:val="clear" w:color="auto" w:fill="auto"/>
            <w:noWrap/>
            <w:vAlign w:val="bottom"/>
            <w:hideMark/>
          </w:tcPr>
          <w:p w:rsidR="005B30A4" w:rsidRPr="000F3607" w:rsidRDefault="005B30A4" w:rsidP="006B4D3E">
            <w:pPr>
              <w:spacing w:after="0" w:line="240" w:lineRule="auto"/>
              <w:rPr>
                <w:rFonts w:ascii="Arial" w:eastAsia="Times New Roman" w:hAnsi="Arial" w:cs="Arial"/>
                <w:sz w:val="16"/>
                <w:szCs w:val="20"/>
                <w:lang w:eastAsia="es-SV"/>
              </w:rPr>
            </w:pPr>
          </w:p>
        </w:tc>
      </w:tr>
      <w:tr w:rsidR="005B30A4"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5B30A4" w:rsidRPr="000F3607" w:rsidRDefault="005B30A4"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CUADRO RESUMEN</w:t>
            </w:r>
          </w:p>
        </w:tc>
      </w:tr>
      <w:tr w:rsidR="005B30A4"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5B30A4" w:rsidRPr="000F3607" w:rsidRDefault="005B30A4"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 xml:space="preserve">REFORMA AL PRESUPUESTO DE EGRESOS </w:t>
            </w:r>
            <w:r>
              <w:rPr>
                <w:rFonts w:ascii="Arial" w:eastAsia="Times New Roman" w:hAnsi="Arial" w:cs="Arial"/>
                <w:b/>
                <w:bCs/>
                <w:sz w:val="16"/>
                <w:lang w:eastAsia="es-SV"/>
              </w:rPr>
              <w:t>PRESTAMOS INTERNOS</w:t>
            </w:r>
          </w:p>
        </w:tc>
      </w:tr>
      <w:tr w:rsidR="005B30A4" w:rsidRPr="000F3607" w:rsidTr="006B4D3E">
        <w:trPr>
          <w:trHeight w:val="276"/>
        </w:trPr>
        <w:tc>
          <w:tcPr>
            <w:tcW w:w="9110" w:type="dxa"/>
            <w:gridSpan w:val="5"/>
            <w:tcBorders>
              <w:top w:val="nil"/>
              <w:left w:val="single" w:sz="8" w:space="0" w:color="auto"/>
              <w:bottom w:val="nil"/>
              <w:right w:val="nil"/>
            </w:tcBorders>
            <w:shd w:val="clear" w:color="000000" w:fill="C4D79B"/>
            <w:noWrap/>
            <w:vAlign w:val="bottom"/>
            <w:hideMark/>
          </w:tcPr>
          <w:p w:rsidR="005B30A4" w:rsidRPr="000F3607" w:rsidRDefault="005B30A4" w:rsidP="006B4D3E">
            <w:pPr>
              <w:spacing w:after="0" w:line="240" w:lineRule="auto"/>
              <w:jc w:val="center"/>
              <w:rPr>
                <w:rFonts w:ascii="Arial" w:eastAsia="Times New Roman" w:hAnsi="Arial" w:cs="Arial"/>
                <w:b/>
                <w:bCs/>
                <w:sz w:val="16"/>
                <w:lang w:eastAsia="es-SV"/>
              </w:rPr>
            </w:pPr>
            <w:r w:rsidRPr="000F3607">
              <w:rPr>
                <w:rFonts w:ascii="Arial" w:eastAsia="Times New Roman" w:hAnsi="Arial" w:cs="Arial"/>
                <w:b/>
                <w:bCs/>
                <w:sz w:val="16"/>
                <w:lang w:eastAsia="es-SV"/>
              </w:rPr>
              <w:t>CLASIFICACIONES POR RUBRO DE EGRESOS</w:t>
            </w:r>
          </w:p>
        </w:tc>
      </w:tr>
      <w:tr w:rsidR="005B30A4" w:rsidRPr="000F3607" w:rsidTr="006B4D3E">
        <w:trPr>
          <w:trHeight w:val="247"/>
        </w:trPr>
        <w:tc>
          <w:tcPr>
            <w:tcW w:w="9110" w:type="dxa"/>
            <w:gridSpan w:val="5"/>
            <w:tcBorders>
              <w:top w:val="nil"/>
              <w:left w:val="single" w:sz="8" w:space="0" w:color="auto"/>
              <w:bottom w:val="single" w:sz="8" w:space="0" w:color="auto"/>
              <w:right w:val="nil"/>
            </w:tcBorders>
            <w:shd w:val="clear" w:color="auto" w:fill="auto"/>
            <w:noWrap/>
            <w:vAlign w:val="bottom"/>
            <w:hideMark/>
          </w:tcPr>
          <w:p w:rsidR="005B30A4" w:rsidRPr="000F3607" w:rsidRDefault="005B30A4" w:rsidP="006B4D3E">
            <w:pPr>
              <w:spacing w:after="0" w:line="240" w:lineRule="auto"/>
              <w:jc w:val="center"/>
              <w:rPr>
                <w:rFonts w:ascii="Arial" w:eastAsia="Times New Roman" w:hAnsi="Arial" w:cs="Arial"/>
                <w:i/>
                <w:iCs/>
                <w:sz w:val="16"/>
                <w:szCs w:val="16"/>
                <w:lang w:eastAsia="es-SV"/>
              </w:rPr>
            </w:pPr>
            <w:r w:rsidRPr="000F3607">
              <w:rPr>
                <w:rFonts w:ascii="Arial" w:eastAsia="Times New Roman" w:hAnsi="Arial" w:cs="Arial"/>
                <w:i/>
                <w:iCs/>
                <w:sz w:val="16"/>
                <w:szCs w:val="16"/>
                <w:lang w:eastAsia="es-SV"/>
              </w:rPr>
              <w:t>En Dólares de Estados Unidos de América.</w:t>
            </w:r>
          </w:p>
        </w:tc>
      </w:tr>
      <w:tr w:rsidR="005B30A4" w:rsidRPr="000F3607" w:rsidTr="006B4D3E">
        <w:trPr>
          <w:trHeight w:val="247"/>
        </w:trPr>
        <w:tc>
          <w:tcPr>
            <w:tcW w:w="738" w:type="dxa"/>
            <w:tcBorders>
              <w:top w:val="nil"/>
              <w:left w:val="single" w:sz="8" w:space="0" w:color="auto"/>
              <w:bottom w:val="single" w:sz="8" w:space="0" w:color="auto"/>
              <w:right w:val="nil"/>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RUBRO</w:t>
            </w:r>
          </w:p>
        </w:tc>
        <w:tc>
          <w:tcPr>
            <w:tcW w:w="3817" w:type="dxa"/>
            <w:tcBorders>
              <w:top w:val="nil"/>
              <w:left w:val="single" w:sz="8" w:space="0" w:color="auto"/>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DESCRIPCIÓN</w:t>
            </w:r>
          </w:p>
        </w:tc>
        <w:tc>
          <w:tcPr>
            <w:tcW w:w="1708" w:type="dxa"/>
            <w:tcBorders>
              <w:top w:val="nil"/>
              <w:left w:val="nil"/>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APROBADO</w:t>
            </w:r>
          </w:p>
        </w:tc>
        <w:tc>
          <w:tcPr>
            <w:tcW w:w="1281" w:type="dxa"/>
            <w:tcBorders>
              <w:top w:val="nil"/>
              <w:left w:val="nil"/>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REFORMA</w:t>
            </w:r>
          </w:p>
        </w:tc>
        <w:tc>
          <w:tcPr>
            <w:tcW w:w="1565" w:type="dxa"/>
            <w:tcBorders>
              <w:top w:val="nil"/>
              <w:left w:val="nil"/>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i/>
                <w:iCs/>
                <w:sz w:val="16"/>
                <w:szCs w:val="16"/>
                <w:lang w:eastAsia="es-SV"/>
              </w:rPr>
            </w:pPr>
            <w:r w:rsidRPr="000F3607">
              <w:rPr>
                <w:rFonts w:ascii="Arial" w:eastAsia="Times New Roman" w:hAnsi="Arial" w:cs="Arial"/>
                <w:b/>
                <w:bCs/>
                <w:i/>
                <w:iCs/>
                <w:sz w:val="16"/>
                <w:szCs w:val="16"/>
                <w:lang w:eastAsia="es-SV"/>
              </w:rPr>
              <w:t>MODIFICADO</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51</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REMUNERACIONES</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1,428,527.78 </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1,428,527.78 </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54</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ADQUISICIONES DE BIENES Y SERVICIOS</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524,726.21</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524,726.21</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55</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GASTOS FINANCIEROS Y OTROS</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539,992.38</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539,992.38 </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56</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TRANSFERENCIAS CORRIENTES</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20,226.30</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20,226.30</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61</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INVERSIONES EN ACTIVOS FIJOS</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2,627,477.10 </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2,627,477.10</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71</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AMORTIZACIÓN DE EMPRÉSTITOS INTERNOS</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         198,819.90</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198,819.90</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565"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72</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CUENTAS POR PAGAR DE AÑOS ANTERIORES</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xml:space="preserve"> $      1,076,447.51 </w:t>
            </w:r>
          </w:p>
        </w:tc>
        <w:tc>
          <w:tcPr>
            <w:tcW w:w="1281" w:type="dxa"/>
            <w:tcBorders>
              <w:top w:val="nil"/>
              <w:left w:val="nil"/>
              <w:bottom w:val="nil"/>
              <w:right w:val="single" w:sz="8" w:space="0" w:color="auto"/>
            </w:tcBorders>
            <w:shd w:val="clear" w:color="auto" w:fill="auto"/>
            <w:noWrap/>
            <w:vAlign w:val="center"/>
          </w:tcPr>
          <w:p w:rsidR="005B30A4" w:rsidRPr="00BB2EA6" w:rsidRDefault="005B30A4"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   1</w:t>
            </w:r>
            <w:r>
              <w:rPr>
                <w:rFonts w:ascii="Arial" w:eastAsia="Times New Roman" w:hAnsi="Arial" w:cs="Arial"/>
                <w:b/>
                <w:bCs/>
                <w:sz w:val="16"/>
                <w:szCs w:val="20"/>
                <w:lang w:eastAsia="es-SV"/>
              </w:rPr>
              <w:t>3,129.73</w:t>
            </w:r>
          </w:p>
        </w:tc>
        <w:tc>
          <w:tcPr>
            <w:tcW w:w="1565" w:type="dxa"/>
            <w:tcBorders>
              <w:top w:val="nil"/>
              <w:left w:val="nil"/>
              <w:bottom w:val="nil"/>
              <w:right w:val="single" w:sz="8" w:space="0" w:color="auto"/>
            </w:tcBorders>
            <w:shd w:val="clear" w:color="auto" w:fill="auto"/>
            <w:noWrap/>
            <w:vAlign w:val="center"/>
          </w:tcPr>
          <w:p w:rsidR="005B30A4" w:rsidRPr="00BB2EA6" w:rsidRDefault="005B30A4"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     </w:t>
            </w:r>
            <w:r>
              <w:rPr>
                <w:rFonts w:ascii="Arial" w:eastAsia="Times New Roman" w:hAnsi="Arial" w:cs="Arial"/>
                <w:b/>
                <w:bCs/>
                <w:sz w:val="16"/>
                <w:szCs w:val="20"/>
                <w:lang w:eastAsia="es-SV"/>
              </w:rPr>
              <w:t>1,105,205.50</w:t>
            </w:r>
          </w:p>
        </w:tc>
      </w:tr>
      <w:tr w:rsidR="005B30A4" w:rsidRPr="000F3607" w:rsidTr="006B4D3E">
        <w:trPr>
          <w:trHeight w:val="256"/>
        </w:trPr>
        <w:tc>
          <w:tcPr>
            <w:tcW w:w="738" w:type="dxa"/>
            <w:tcBorders>
              <w:top w:val="nil"/>
              <w:left w:val="single" w:sz="8" w:space="0" w:color="auto"/>
              <w:bottom w:val="nil"/>
              <w:right w:val="nil"/>
            </w:tcBorders>
            <w:shd w:val="clear" w:color="auto" w:fill="auto"/>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3817" w:type="dxa"/>
            <w:tcBorders>
              <w:top w:val="nil"/>
              <w:left w:val="single" w:sz="8" w:space="0" w:color="auto"/>
              <w:bottom w:val="nil"/>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708" w:type="dxa"/>
            <w:tcBorders>
              <w:top w:val="nil"/>
              <w:left w:val="nil"/>
              <w:bottom w:val="nil"/>
              <w:right w:val="single" w:sz="8" w:space="0" w:color="auto"/>
            </w:tcBorders>
            <w:shd w:val="clear" w:color="auto" w:fill="auto"/>
            <w:noWrap/>
            <w:vAlign w:val="center"/>
          </w:tcPr>
          <w:p w:rsidR="005B30A4" w:rsidRPr="000F3607" w:rsidRDefault="005B30A4" w:rsidP="006B4D3E">
            <w:pPr>
              <w:spacing w:after="0" w:line="240" w:lineRule="auto"/>
              <w:rPr>
                <w:rFonts w:ascii="Arial" w:eastAsia="Times New Roman" w:hAnsi="Arial" w:cs="Arial"/>
                <w:b/>
                <w:bCs/>
                <w:sz w:val="16"/>
                <w:szCs w:val="20"/>
                <w:lang w:eastAsia="es-SV"/>
              </w:rPr>
            </w:pPr>
          </w:p>
        </w:tc>
        <w:tc>
          <w:tcPr>
            <w:tcW w:w="1281" w:type="dxa"/>
            <w:tcBorders>
              <w:top w:val="nil"/>
              <w:left w:val="nil"/>
              <w:bottom w:val="nil"/>
              <w:right w:val="single" w:sz="8" w:space="0" w:color="auto"/>
            </w:tcBorders>
            <w:shd w:val="clear" w:color="auto" w:fill="auto"/>
            <w:noWrap/>
            <w:vAlign w:val="center"/>
          </w:tcPr>
          <w:p w:rsidR="005B30A4" w:rsidRPr="00BB2EA6" w:rsidRDefault="005B30A4" w:rsidP="006B4D3E">
            <w:pPr>
              <w:spacing w:after="0" w:line="240" w:lineRule="auto"/>
              <w:rPr>
                <w:rFonts w:ascii="Arial" w:eastAsia="Times New Roman" w:hAnsi="Arial" w:cs="Arial"/>
                <w:b/>
                <w:bCs/>
                <w:sz w:val="16"/>
                <w:szCs w:val="20"/>
                <w:lang w:eastAsia="es-SV"/>
              </w:rPr>
            </w:pPr>
          </w:p>
        </w:tc>
        <w:tc>
          <w:tcPr>
            <w:tcW w:w="1565" w:type="dxa"/>
            <w:tcBorders>
              <w:top w:val="nil"/>
              <w:left w:val="nil"/>
              <w:bottom w:val="nil"/>
              <w:right w:val="single" w:sz="8" w:space="0" w:color="auto"/>
            </w:tcBorders>
            <w:shd w:val="clear" w:color="auto" w:fill="auto"/>
            <w:noWrap/>
            <w:vAlign w:val="center"/>
          </w:tcPr>
          <w:p w:rsidR="005B30A4" w:rsidRPr="00BB2EA6" w:rsidRDefault="005B30A4" w:rsidP="006B4D3E">
            <w:pPr>
              <w:spacing w:after="0" w:line="240" w:lineRule="auto"/>
              <w:rPr>
                <w:rFonts w:ascii="Arial" w:eastAsia="Times New Roman" w:hAnsi="Arial" w:cs="Arial"/>
                <w:b/>
                <w:bCs/>
                <w:sz w:val="16"/>
                <w:szCs w:val="20"/>
                <w:lang w:eastAsia="es-SV"/>
              </w:rPr>
            </w:pPr>
          </w:p>
        </w:tc>
      </w:tr>
      <w:tr w:rsidR="005B30A4" w:rsidRPr="000F3607" w:rsidTr="006B4D3E">
        <w:trPr>
          <w:trHeight w:val="256"/>
        </w:trPr>
        <w:tc>
          <w:tcPr>
            <w:tcW w:w="738" w:type="dxa"/>
            <w:tcBorders>
              <w:top w:val="nil"/>
              <w:left w:val="single" w:sz="8" w:space="0" w:color="auto"/>
              <w:bottom w:val="single" w:sz="8" w:space="0" w:color="auto"/>
              <w:right w:val="nil"/>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p>
        </w:tc>
        <w:tc>
          <w:tcPr>
            <w:tcW w:w="3817" w:type="dxa"/>
            <w:tcBorders>
              <w:top w:val="nil"/>
              <w:left w:val="single" w:sz="8" w:space="0" w:color="auto"/>
              <w:bottom w:val="single" w:sz="8" w:space="0" w:color="auto"/>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p>
        </w:tc>
        <w:tc>
          <w:tcPr>
            <w:tcW w:w="1708" w:type="dxa"/>
            <w:tcBorders>
              <w:top w:val="nil"/>
              <w:left w:val="nil"/>
              <w:bottom w:val="single" w:sz="8" w:space="0" w:color="auto"/>
              <w:right w:val="single" w:sz="8" w:space="0" w:color="auto"/>
            </w:tcBorders>
            <w:shd w:val="clear" w:color="auto" w:fill="auto"/>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w:t>
            </w:r>
          </w:p>
        </w:tc>
        <w:tc>
          <w:tcPr>
            <w:tcW w:w="1281" w:type="dxa"/>
            <w:tcBorders>
              <w:top w:val="nil"/>
              <w:left w:val="nil"/>
              <w:bottom w:val="single" w:sz="8" w:space="0" w:color="auto"/>
              <w:right w:val="single" w:sz="8" w:space="0" w:color="auto"/>
            </w:tcBorders>
            <w:shd w:val="clear" w:color="auto" w:fill="auto"/>
            <w:noWrap/>
            <w:vAlign w:val="center"/>
            <w:hideMark/>
          </w:tcPr>
          <w:p w:rsidR="005B30A4" w:rsidRPr="00BB2EA6" w:rsidRDefault="005B30A4"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w:t>
            </w:r>
          </w:p>
        </w:tc>
        <w:tc>
          <w:tcPr>
            <w:tcW w:w="1565" w:type="dxa"/>
            <w:tcBorders>
              <w:top w:val="nil"/>
              <w:left w:val="nil"/>
              <w:bottom w:val="single" w:sz="8" w:space="0" w:color="auto"/>
              <w:right w:val="single" w:sz="8" w:space="0" w:color="auto"/>
            </w:tcBorders>
            <w:shd w:val="clear" w:color="auto" w:fill="auto"/>
            <w:noWrap/>
            <w:vAlign w:val="center"/>
            <w:hideMark/>
          </w:tcPr>
          <w:p w:rsidR="005B30A4" w:rsidRPr="00BB2EA6" w:rsidRDefault="005B30A4" w:rsidP="006B4D3E">
            <w:pPr>
              <w:spacing w:after="0" w:line="240" w:lineRule="auto"/>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w:t>
            </w:r>
          </w:p>
        </w:tc>
      </w:tr>
      <w:tr w:rsidR="005B30A4" w:rsidRPr="000F3607" w:rsidTr="006B4D3E">
        <w:trPr>
          <w:trHeight w:val="256"/>
        </w:trPr>
        <w:tc>
          <w:tcPr>
            <w:tcW w:w="738" w:type="dxa"/>
            <w:tcBorders>
              <w:top w:val="nil"/>
              <w:left w:val="single" w:sz="8" w:space="0" w:color="auto"/>
              <w:bottom w:val="single" w:sz="8" w:space="0" w:color="auto"/>
              <w:right w:val="nil"/>
            </w:tcBorders>
            <w:shd w:val="clear" w:color="auto" w:fill="92CDDC" w:themeFill="accent5" w:themeFillTint="99"/>
            <w:noWrap/>
            <w:vAlign w:val="center"/>
            <w:hideMark/>
          </w:tcPr>
          <w:p w:rsidR="005B30A4" w:rsidRPr="000F3607" w:rsidRDefault="005B30A4" w:rsidP="006B4D3E">
            <w:pPr>
              <w:spacing w:after="0" w:line="240" w:lineRule="auto"/>
              <w:rPr>
                <w:rFonts w:ascii="Arial" w:eastAsia="Times New Roman" w:hAnsi="Arial" w:cs="Arial"/>
                <w:sz w:val="16"/>
                <w:szCs w:val="20"/>
                <w:lang w:eastAsia="es-SV"/>
              </w:rPr>
            </w:pPr>
            <w:r w:rsidRPr="000F3607">
              <w:rPr>
                <w:rFonts w:ascii="Arial" w:eastAsia="Times New Roman" w:hAnsi="Arial" w:cs="Arial"/>
                <w:sz w:val="16"/>
                <w:szCs w:val="20"/>
                <w:lang w:eastAsia="es-SV"/>
              </w:rPr>
              <w:t> </w:t>
            </w:r>
          </w:p>
        </w:tc>
        <w:tc>
          <w:tcPr>
            <w:tcW w:w="3817" w:type="dxa"/>
            <w:tcBorders>
              <w:top w:val="nil"/>
              <w:left w:val="single" w:sz="8" w:space="0" w:color="auto"/>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jc w:val="center"/>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TOTAL</w:t>
            </w:r>
          </w:p>
        </w:tc>
        <w:tc>
          <w:tcPr>
            <w:tcW w:w="1708" w:type="dxa"/>
            <w:tcBorders>
              <w:top w:val="nil"/>
              <w:left w:val="nil"/>
              <w:bottom w:val="single" w:sz="8" w:space="0" w:color="auto"/>
              <w:right w:val="single" w:sz="8" w:space="0" w:color="auto"/>
            </w:tcBorders>
            <w:shd w:val="clear" w:color="auto" w:fill="92CDDC" w:themeFill="accent5" w:themeFillTint="99"/>
            <w:noWrap/>
            <w:vAlign w:val="center"/>
            <w:hideMark/>
          </w:tcPr>
          <w:p w:rsidR="005B30A4" w:rsidRPr="000F3607" w:rsidRDefault="005B30A4" w:rsidP="006B4D3E">
            <w:pPr>
              <w:spacing w:after="0" w:line="240" w:lineRule="auto"/>
              <w:rPr>
                <w:rFonts w:ascii="Arial" w:eastAsia="Times New Roman" w:hAnsi="Arial" w:cs="Arial"/>
                <w:b/>
                <w:bCs/>
                <w:sz w:val="16"/>
                <w:szCs w:val="20"/>
                <w:lang w:eastAsia="es-SV"/>
              </w:rPr>
            </w:pPr>
            <w:r w:rsidRPr="000F3607">
              <w:rPr>
                <w:rFonts w:ascii="Arial" w:eastAsia="Times New Roman" w:hAnsi="Arial" w:cs="Arial"/>
                <w:b/>
                <w:bCs/>
                <w:sz w:val="16"/>
                <w:szCs w:val="20"/>
                <w:lang w:eastAsia="es-SV"/>
              </w:rPr>
              <w:t>$       6,416,217.18</w:t>
            </w:r>
          </w:p>
        </w:tc>
        <w:tc>
          <w:tcPr>
            <w:tcW w:w="1281" w:type="dxa"/>
            <w:tcBorders>
              <w:top w:val="nil"/>
              <w:left w:val="nil"/>
              <w:bottom w:val="single" w:sz="8" w:space="0" w:color="auto"/>
              <w:right w:val="single" w:sz="8" w:space="0" w:color="auto"/>
            </w:tcBorders>
            <w:shd w:val="clear" w:color="auto" w:fill="92CDDC" w:themeFill="accent5" w:themeFillTint="99"/>
            <w:noWrap/>
            <w:vAlign w:val="center"/>
            <w:hideMark/>
          </w:tcPr>
          <w:p w:rsidR="005B30A4" w:rsidRPr="00BB2EA6" w:rsidRDefault="005B30A4" w:rsidP="006B4D3E">
            <w:pPr>
              <w:spacing w:after="0" w:line="240" w:lineRule="auto"/>
              <w:rPr>
                <w:rFonts w:ascii="Arial" w:eastAsia="Times New Roman" w:hAnsi="Arial" w:cs="Arial"/>
                <w:b/>
                <w:bCs/>
                <w:sz w:val="16"/>
                <w:szCs w:val="20"/>
                <w:lang w:eastAsia="es-SV"/>
              </w:rPr>
            </w:pPr>
            <w:r>
              <w:rPr>
                <w:rFonts w:ascii="Arial" w:eastAsia="Times New Roman" w:hAnsi="Arial" w:cs="Arial"/>
                <w:b/>
                <w:bCs/>
                <w:sz w:val="16"/>
                <w:szCs w:val="20"/>
                <w:lang w:eastAsia="es-SV"/>
              </w:rPr>
              <w:t xml:space="preserve"> $   13,129.73</w:t>
            </w:r>
          </w:p>
        </w:tc>
        <w:tc>
          <w:tcPr>
            <w:tcW w:w="1565" w:type="dxa"/>
            <w:tcBorders>
              <w:top w:val="nil"/>
              <w:left w:val="nil"/>
              <w:bottom w:val="single" w:sz="8" w:space="0" w:color="auto"/>
              <w:right w:val="single" w:sz="8" w:space="0" w:color="auto"/>
            </w:tcBorders>
            <w:shd w:val="clear" w:color="auto" w:fill="92CDDC" w:themeFill="accent5" w:themeFillTint="99"/>
            <w:noWrap/>
            <w:vAlign w:val="center"/>
            <w:hideMark/>
          </w:tcPr>
          <w:p w:rsidR="005B30A4" w:rsidRPr="00BB2EA6" w:rsidRDefault="005B30A4" w:rsidP="006B4D3E">
            <w:pPr>
              <w:spacing w:after="0" w:line="240" w:lineRule="auto"/>
              <w:jc w:val="right"/>
              <w:rPr>
                <w:rFonts w:ascii="Arial" w:eastAsia="Times New Roman" w:hAnsi="Arial" w:cs="Arial"/>
                <w:b/>
                <w:bCs/>
                <w:sz w:val="16"/>
                <w:szCs w:val="20"/>
                <w:lang w:eastAsia="es-SV"/>
              </w:rPr>
            </w:pPr>
            <w:r w:rsidRPr="00BB2EA6">
              <w:rPr>
                <w:rFonts w:ascii="Arial" w:eastAsia="Times New Roman" w:hAnsi="Arial" w:cs="Arial"/>
                <w:b/>
                <w:bCs/>
                <w:sz w:val="16"/>
                <w:szCs w:val="20"/>
                <w:lang w:eastAsia="es-SV"/>
              </w:rPr>
              <w:t xml:space="preserve">$     6,431,845.77   </w:t>
            </w:r>
          </w:p>
        </w:tc>
      </w:tr>
    </w:tbl>
    <w:p w:rsidR="005B30A4" w:rsidRPr="000F3607" w:rsidRDefault="005B30A4" w:rsidP="005B30A4">
      <w:pPr>
        <w:spacing w:after="0" w:line="240" w:lineRule="auto"/>
        <w:jc w:val="both"/>
        <w:rPr>
          <w:rFonts w:ascii="Times New Roman" w:hAnsi="Times New Roman" w:cs="Times New Roman"/>
          <w:b/>
          <w:sz w:val="24"/>
          <w:szCs w:val="24"/>
          <w:u w:val="single"/>
          <w:lang w:val="es-ES"/>
        </w:rPr>
      </w:pPr>
    </w:p>
    <w:p w:rsidR="005B30A4" w:rsidRPr="000F3607" w:rsidRDefault="005B30A4" w:rsidP="005B30A4">
      <w:pPr>
        <w:jc w:val="both"/>
        <w:rPr>
          <w:rFonts w:ascii="Times New Roman" w:hAnsi="Times New Roman" w:cs="Times New Roman"/>
          <w:b/>
          <w:sz w:val="24"/>
          <w:szCs w:val="24"/>
          <w:u w:val="single"/>
        </w:rPr>
      </w:pPr>
      <w:r w:rsidRPr="000F3607">
        <w:rPr>
          <w:rFonts w:ascii="Times New Roman" w:hAnsi="Times New Roman" w:cs="Times New Roman"/>
          <w:b/>
          <w:sz w:val="24"/>
          <w:szCs w:val="24"/>
          <w:u w:val="single"/>
          <w:lang w:val="es-ES"/>
        </w:rPr>
        <w:t>Art. 2</w:t>
      </w:r>
      <w:r w:rsidRPr="000F3607">
        <w:rPr>
          <w:rFonts w:ascii="Times New Roman" w:hAnsi="Times New Roman" w:cs="Times New Roman"/>
          <w:sz w:val="24"/>
          <w:szCs w:val="24"/>
          <w:u w:val="single"/>
          <w:lang w:val="es-ES"/>
        </w:rPr>
        <w:t xml:space="preserve"> El Presente Decreto entrara en vigencia el día de su emisión dado en la Alcaldía Municipal de la Villa San Luis la Herradura, Departamento de la Paz. </w:t>
      </w:r>
      <w:r w:rsidRPr="000F3607">
        <w:rPr>
          <w:rFonts w:ascii="Times New Roman" w:hAnsi="Times New Roman" w:cs="Times New Roman"/>
          <w:b/>
          <w:sz w:val="24"/>
          <w:szCs w:val="24"/>
          <w:u w:val="single"/>
          <w:lang w:val="es-ES"/>
        </w:rPr>
        <w:t>Segundo:</w:t>
      </w:r>
      <w:r w:rsidRPr="000F3607">
        <w:rPr>
          <w:rFonts w:ascii="Times New Roman" w:hAnsi="Times New Roman" w:cs="Times New Roman"/>
          <w:sz w:val="24"/>
          <w:szCs w:val="24"/>
          <w:u w:val="single"/>
          <w:lang w:val="es-ES"/>
        </w:rPr>
        <w:t xml:space="preserve"> Certifíquese y comuníquese para los demás efectos legales consiguientes…………………………</w:t>
      </w:r>
      <w:r>
        <w:rPr>
          <w:rFonts w:ascii="Times New Roman" w:hAnsi="Times New Roman" w:cs="Times New Roman"/>
          <w:sz w:val="24"/>
          <w:szCs w:val="24"/>
          <w:u w:val="single"/>
          <w:lang w:val="es-ES"/>
        </w:rPr>
        <w:t>……..</w:t>
      </w:r>
    </w:p>
    <w:p w:rsidR="005B30A4" w:rsidRPr="00382F3C" w:rsidRDefault="005B30A4" w:rsidP="005B30A4">
      <w:pPr>
        <w:jc w:val="both"/>
        <w:rPr>
          <w:rFonts w:ascii="Times New Roman" w:hAnsi="Times New Roman" w:cs="Times New Roman"/>
          <w:sz w:val="24"/>
          <w:szCs w:val="24"/>
          <w:u w:val="single"/>
        </w:rPr>
      </w:pPr>
      <w:r w:rsidRPr="00382F3C">
        <w:rPr>
          <w:rFonts w:ascii="Times New Roman" w:hAnsi="Times New Roman" w:cs="Times New Roman"/>
          <w:b/>
          <w:bCs/>
          <w:sz w:val="24"/>
          <w:szCs w:val="24"/>
          <w:u w:val="single"/>
        </w:rPr>
        <w:t xml:space="preserve">ACUERDO NUMERO SEIS.- </w:t>
      </w:r>
      <w:r w:rsidRPr="00382F3C">
        <w:rPr>
          <w:rFonts w:ascii="Times New Roman" w:hAnsi="Times New Roman" w:cs="Times New Roman"/>
          <w:sz w:val="24"/>
          <w:szCs w:val="24"/>
          <w:u w:val="single"/>
        </w:rPr>
        <w:t xml:space="preserve">El Concejo Municipal de la Villa San Luis La Herradura, Departamento de La Paz, </w:t>
      </w:r>
      <w:r w:rsidRPr="00382F3C">
        <w:rPr>
          <w:rFonts w:ascii="Times New Roman" w:hAnsi="Times New Roman" w:cs="Times New Roman"/>
          <w:b/>
          <w:sz w:val="24"/>
          <w:szCs w:val="24"/>
          <w:u w:val="single"/>
        </w:rPr>
        <w:t>Considerando: a)</w:t>
      </w:r>
      <w:r w:rsidRPr="00382F3C">
        <w:rPr>
          <w:rFonts w:ascii="Times New Roman" w:hAnsi="Times New Roman" w:cs="Times New Roman"/>
          <w:sz w:val="24"/>
          <w:szCs w:val="24"/>
          <w:u w:val="single"/>
        </w:rPr>
        <w:t xml:space="preserve"> El Memorándum de la Jefa de la Unidad de Adquisiciones y Contrataciones Institucional UACI, de esta municipalidad, señora Claudia Yesenia Martínez de Interiano, del 13 de septiembre del </w:t>
      </w:r>
      <w:r w:rsidRPr="00382F3C">
        <w:rPr>
          <w:rFonts w:ascii="Times New Roman" w:hAnsi="Times New Roman" w:cs="Times New Roman"/>
          <w:sz w:val="24"/>
          <w:szCs w:val="24"/>
          <w:u w:val="single"/>
        </w:rPr>
        <w:lastRenderedPageBreak/>
        <w:t>corriente año</w:t>
      </w:r>
      <w:r w:rsidRPr="00382F3C">
        <w:rPr>
          <w:rFonts w:ascii="Times New Roman" w:hAnsi="Times New Roman" w:cs="Times New Roman"/>
          <w:sz w:val="24"/>
          <w:szCs w:val="24"/>
        </w:rPr>
        <w:t>, en el que solicita Acuerdo Municipal de Autorización del Proceso Código LG 157-2021/AMSLH, para el “Suministro de agua envasada para consumo humano durante un año”, según detalle: 2,400garrafones de 5 litros, 28,800 Botellas de 0.5 Litros y 72,000 botellas de 0.5 litros , distribuido en 8 entregas por mes durante 12 meses”,</w:t>
      </w:r>
      <w:r w:rsidRPr="00382F3C">
        <w:rPr>
          <w:rFonts w:ascii="Times New Roman" w:eastAsia="Gulim" w:hAnsi="Times New Roman" w:cs="Times New Roman"/>
          <w:sz w:val="24"/>
          <w:szCs w:val="24"/>
        </w:rPr>
        <w:t xml:space="preserve">en el que presenta cuadro comparativo de Oferta del Proceso antes mencionado siendo la Empresa INVERSIONES VIDA, S.A. DE C.V. por ser la única que participo en el presente proceso.; Por parte de la Unidad de Adquisiciones y Contrataciones Institucional UACI. Local. En la que recomienda se Adjudique el </w:t>
      </w:r>
      <w:r w:rsidRPr="00382F3C">
        <w:rPr>
          <w:rFonts w:ascii="Times New Roman" w:hAnsi="Times New Roman" w:cs="Times New Roman"/>
          <w:sz w:val="24"/>
          <w:szCs w:val="24"/>
        </w:rPr>
        <w:t xml:space="preserve">“Suminis-tro de agua envasada para consumo humano durante un año”a la Empresa </w:t>
      </w:r>
      <w:r w:rsidRPr="00382F3C">
        <w:rPr>
          <w:rFonts w:ascii="Times New Roman" w:eastAsia="Gulim" w:hAnsi="Times New Roman" w:cs="Times New Roman"/>
          <w:sz w:val="24"/>
          <w:szCs w:val="24"/>
        </w:rPr>
        <w:t xml:space="preserve">INVERSIONES VIDA, S.A. DE C.V.; por un monto de: Dieciseis mil ciento veintiocho 00/100 Dólares Estadounidenses ($16,128.00). </w:t>
      </w:r>
      <w:r w:rsidRPr="00382F3C">
        <w:rPr>
          <w:rFonts w:ascii="Times New Roman" w:eastAsia="Gulim" w:hAnsi="Times New Roman" w:cs="Times New Roman"/>
          <w:b/>
          <w:sz w:val="24"/>
          <w:szCs w:val="24"/>
          <w:u w:val="single"/>
        </w:rPr>
        <w:t>Por Tanto</w:t>
      </w:r>
      <w:r w:rsidRPr="00382F3C">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382F3C">
        <w:rPr>
          <w:rFonts w:ascii="Times New Roman" w:hAnsi="Times New Roman" w:cs="Times New Roman"/>
          <w:b/>
          <w:bCs/>
          <w:sz w:val="24"/>
          <w:szCs w:val="24"/>
          <w:u w:val="single"/>
        </w:rPr>
        <w:t xml:space="preserve">ACUERDA: Primero: </w:t>
      </w:r>
      <w:r w:rsidRPr="00382F3C">
        <w:rPr>
          <w:rFonts w:ascii="Times New Roman" w:hAnsi="Times New Roman" w:cs="Times New Roman"/>
          <w:bCs/>
          <w:sz w:val="24"/>
          <w:szCs w:val="24"/>
          <w:u w:val="single"/>
        </w:rPr>
        <w:t xml:space="preserve">SeAdjudica El </w:t>
      </w:r>
      <w:r w:rsidRPr="00382F3C">
        <w:rPr>
          <w:rFonts w:ascii="Times New Roman" w:hAnsi="Times New Roman" w:cs="Times New Roman"/>
          <w:sz w:val="24"/>
          <w:szCs w:val="24"/>
          <w:u w:val="single"/>
        </w:rPr>
        <w:t xml:space="preserve">Proceso Código LG 157-2021/AMSLH, para el “Suministro de agua envasada para consumo humano durante un año”, según detalle: 2,400 garrafones de 5 litros, 28,800 botellas de 0.5 Litros y 72,000 botellas de 0.5 litros, distribuido en 8 entregas por mes durante 12 meses”; a la Empresa </w:t>
      </w:r>
      <w:r w:rsidRPr="00382F3C">
        <w:rPr>
          <w:rFonts w:ascii="Times New Roman" w:eastAsia="Gulim" w:hAnsi="Times New Roman" w:cs="Times New Roman"/>
          <w:b/>
          <w:sz w:val="24"/>
          <w:szCs w:val="24"/>
          <w:u w:val="single"/>
        </w:rPr>
        <w:t>INVERSIONES VIDA, S.A. DE C.V.; por el monto de: Dieciseis mil ciento veintiocho 00/100 Dólares Estadounidenses ($16,128.00);</w:t>
      </w:r>
      <w:r w:rsidRPr="00382F3C">
        <w:rPr>
          <w:rFonts w:ascii="Times New Roman" w:eastAsia="Gulim" w:hAnsi="Times New Roman" w:cs="Times New Roman"/>
          <w:sz w:val="24"/>
          <w:szCs w:val="24"/>
          <w:u w:val="single"/>
        </w:rPr>
        <w:t>para los empleados municipales,contribu-yentes y personas que solicitan un servicio a esta municipalidad.</w:t>
      </w:r>
      <w:r w:rsidRPr="00382F3C">
        <w:rPr>
          <w:rFonts w:ascii="Times New Roman" w:eastAsia="Gulim" w:hAnsi="Times New Roman" w:cs="Times New Roman"/>
          <w:b/>
          <w:sz w:val="24"/>
          <w:szCs w:val="24"/>
          <w:u w:val="single"/>
        </w:rPr>
        <w:t>Segundo:</w:t>
      </w:r>
      <w:r w:rsidRPr="00382F3C">
        <w:rPr>
          <w:rFonts w:ascii="Times New Roman" w:eastAsia="Gulim" w:hAnsi="Times New Roman" w:cs="Times New Roman"/>
          <w:sz w:val="24"/>
          <w:szCs w:val="24"/>
          <w:u w:val="single"/>
        </w:rPr>
        <w:t xml:space="preserve"> Se </w:t>
      </w:r>
      <w:r w:rsidRPr="00382F3C">
        <w:rPr>
          <w:rFonts w:ascii="Times New Roman" w:hAnsi="Times New Roman" w:cs="Times New Roman"/>
          <w:sz w:val="24"/>
          <w:szCs w:val="24"/>
          <w:u w:val="single"/>
        </w:rPr>
        <w:t xml:space="preserve">Autoriza al Tesorero Municipal, Cesar Alonso Villalta Reyes, para la erogación de Fondos Propios, por la cantidad de: </w:t>
      </w:r>
      <w:r w:rsidRPr="00382F3C">
        <w:rPr>
          <w:rFonts w:ascii="Times New Roman" w:eastAsia="Gulim" w:hAnsi="Times New Roman" w:cs="Times New Roman"/>
          <w:b/>
          <w:sz w:val="24"/>
          <w:szCs w:val="24"/>
          <w:u w:val="single"/>
        </w:rPr>
        <w:t xml:space="preserve">Dieciseis mil ciento veintiocho 00/100 Dólares Estadounidenses ($16,128.00); a nombre de la Empresa INVERSIONES VIDA, S.A. DE C.V.; </w:t>
      </w:r>
      <w:r w:rsidRPr="00382F3C">
        <w:rPr>
          <w:rFonts w:ascii="Times New Roman" w:eastAsia="Gulim" w:hAnsi="Times New Roman" w:cs="Times New Roman"/>
          <w:sz w:val="24"/>
          <w:szCs w:val="24"/>
          <w:u w:val="single"/>
        </w:rPr>
        <w:t>por el</w:t>
      </w:r>
      <w:r w:rsidRPr="00382F3C">
        <w:rPr>
          <w:rFonts w:ascii="Times New Roman" w:hAnsi="Times New Roman" w:cs="Times New Roman"/>
          <w:sz w:val="24"/>
          <w:szCs w:val="24"/>
          <w:u w:val="single"/>
        </w:rPr>
        <w:t xml:space="preserve">Suministro de agua envasada para consumo humano durante un año a esta municipalidad; gasto que será aplicado al Presupuesto Municipal Vigente. Fondos Propios. </w:t>
      </w:r>
      <w:r w:rsidRPr="00382F3C">
        <w:rPr>
          <w:rFonts w:ascii="Times New Roman" w:hAnsi="Times New Roman" w:cs="Times New Roman"/>
          <w:b/>
          <w:sz w:val="24"/>
          <w:szCs w:val="24"/>
          <w:u w:val="single"/>
        </w:rPr>
        <w:t>Tercero:</w:t>
      </w:r>
      <w:r w:rsidRPr="00382F3C">
        <w:rPr>
          <w:rFonts w:ascii="Times New Roman" w:hAnsi="Times New Roman" w:cs="Times New Roman"/>
          <w:sz w:val="24"/>
          <w:szCs w:val="24"/>
          <w:u w:val="single"/>
        </w:rPr>
        <w:t xml:space="preserve">Instruir a Jefa de la Unidad Jurídica, Licenciada Gladis del Carmen Alfaro de Villalta, para que elabore el contrato de Suministro de agua envasada para consumo humano durante un año. </w:t>
      </w:r>
      <w:r w:rsidRPr="00382F3C">
        <w:rPr>
          <w:rFonts w:ascii="Times New Roman" w:hAnsi="Times New Roman" w:cs="Times New Roman"/>
          <w:b/>
          <w:sz w:val="24"/>
          <w:szCs w:val="24"/>
          <w:u w:val="single"/>
        </w:rPr>
        <w:t>Cuarto:</w:t>
      </w:r>
      <w:r w:rsidRPr="00382F3C">
        <w:rPr>
          <w:rFonts w:ascii="Times New Roman" w:hAnsi="Times New Roman" w:cs="Times New Roman"/>
          <w:sz w:val="24"/>
          <w:szCs w:val="24"/>
          <w:u w:val="single"/>
        </w:rPr>
        <w:t xml:space="preserve"> Se autoriza al señor Alcalde Municipal, don Napoleón Armando Iraheta Jirón; para que en nombre y representación del Concejo Municipal de este municipio firme el contrato correspondiente. </w:t>
      </w:r>
      <w:r w:rsidRPr="00382F3C">
        <w:rPr>
          <w:rFonts w:ascii="Times New Roman" w:hAnsi="Times New Roman" w:cs="Times New Roman"/>
          <w:b/>
          <w:sz w:val="24"/>
          <w:szCs w:val="24"/>
          <w:u w:val="single"/>
        </w:rPr>
        <w:t>Quinto:</w:t>
      </w:r>
      <w:r w:rsidRPr="00382F3C">
        <w:rPr>
          <w:rFonts w:ascii="Times New Roman" w:hAnsi="Times New Roman" w:cs="Times New Roman"/>
          <w:sz w:val="24"/>
          <w:szCs w:val="24"/>
          <w:u w:val="single"/>
        </w:rPr>
        <w:t xml:space="preserve"> Se nombra como Administrador de Orden de Compra al señor Ramón Arturo Mayorga Flores, Auxiliar de UACI, de esta municipalidad. </w:t>
      </w:r>
      <w:r w:rsidRPr="00382F3C">
        <w:rPr>
          <w:rFonts w:ascii="Times New Roman" w:hAnsi="Times New Roman" w:cs="Times New Roman"/>
          <w:b/>
          <w:sz w:val="24"/>
          <w:szCs w:val="24"/>
          <w:u w:val="single"/>
        </w:rPr>
        <w:t>Sexto:</w:t>
      </w:r>
      <w:r w:rsidRPr="00382F3C">
        <w:rPr>
          <w:rFonts w:ascii="Times New Roman" w:hAnsi="Times New Roman" w:cs="Times New Roman"/>
          <w:sz w:val="24"/>
          <w:szCs w:val="24"/>
          <w:u w:val="single"/>
        </w:rPr>
        <w:t xml:space="preserve"> Certifíquese y comuníquese para los demás efectos legales consiguientes…………..............</w:t>
      </w:r>
    </w:p>
    <w:p w:rsidR="005B30A4" w:rsidRPr="00F24FF8" w:rsidRDefault="005B30A4" w:rsidP="005B30A4">
      <w:pPr>
        <w:spacing w:line="278" w:lineRule="auto"/>
        <w:ind w:right="817"/>
        <w:jc w:val="both"/>
        <w:rPr>
          <w:rFonts w:ascii="Times New Roman" w:hAnsi="Times New Roman" w:cs="Times New Roman"/>
          <w:b/>
          <w:sz w:val="24"/>
          <w:szCs w:val="24"/>
        </w:rPr>
      </w:pPr>
      <w:r w:rsidRPr="00F24FF8">
        <w:rPr>
          <w:rFonts w:ascii="Times New Roman" w:hAnsi="Times New Roman" w:cs="Times New Roman"/>
          <w:b/>
          <w:sz w:val="24"/>
          <w:szCs w:val="24"/>
        </w:rPr>
        <w:t>DECRETO NÚMERO 03/2021</w:t>
      </w:r>
    </w:p>
    <w:p w:rsidR="005B30A4" w:rsidRPr="00F24FF8" w:rsidRDefault="005B30A4" w:rsidP="005B30A4">
      <w:pPr>
        <w:spacing w:line="278" w:lineRule="auto"/>
        <w:jc w:val="both"/>
        <w:rPr>
          <w:rFonts w:ascii="Times New Roman" w:hAnsi="Times New Roman" w:cs="Times New Roman"/>
          <w:b/>
          <w:sz w:val="24"/>
          <w:szCs w:val="24"/>
        </w:rPr>
      </w:pPr>
      <w:r w:rsidRPr="00F24FF8">
        <w:rPr>
          <w:rFonts w:ascii="Times New Roman" w:hAnsi="Times New Roman" w:cs="Times New Roman"/>
          <w:b/>
          <w:sz w:val="24"/>
          <w:szCs w:val="24"/>
        </w:rPr>
        <w:t>EL CONCEJO MUNICIPAL DE SAN LUIS LA HERRADURA, DEPARTAMENTO DE LA PAZ, CONSIDERANDO:</w:t>
      </w:r>
    </w:p>
    <w:p w:rsidR="005B30A4" w:rsidRPr="00F24FF8" w:rsidRDefault="005B30A4" w:rsidP="005B30A4">
      <w:pPr>
        <w:pStyle w:val="Prrafodelista"/>
        <w:numPr>
          <w:ilvl w:val="0"/>
          <w:numId w:val="26"/>
        </w:numPr>
        <w:spacing w:after="0" w:line="278" w:lineRule="auto"/>
        <w:jc w:val="both"/>
        <w:rPr>
          <w:rFonts w:ascii="Times New Roman" w:hAnsi="Times New Roman" w:cs="Times New Roman"/>
          <w:sz w:val="24"/>
          <w:szCs w:val="24"/>
        </w:rPr>
      </w:pPr>
      <w:r w:rsidRPr="00F24FF8">
        <w:rPr>
          <w:rFonts w:ascii="Times New Roman" w:hAnsi="Times New Roman" w:cs="Times New Roman"/>
          <w:sz w:val="24"/>
          <w:szCs w:val="24"/>
        </w:rPr>
        <w:t xml:space="preserve">Que la autonomía del Municipio comprende la Creación, Modificación y Supresión de Tasas por Servicios y Contribuciones Públicas, autonomía que la misma Constitución de la República, el Código Municipal y la Ley General Tributaria Municipal, otorgan de acuerdo a la siguiente normativa de los Artículos 204 de la Constitución de la República de El Salvador, CódigoMunicipal. Artículos 3, N°. 1 y 5, Art. 30 N°. 4, 6-A, 21, Arts. 32, 34 y 35,  y el Artículo 7 inciso 2ª, de la Ley General Tributaria Municipal. </w:t>
      </w:r>
    </w:p>
    <w:p w:rsidR="005B30A4" w:rsidRPr="00F24FF8" w:rsidRDefault="005B30A4" w:rsidP="005B30A4">
      <w:pPr>
        <w:pStyle w:val="Prrafodelista"/>
        <w:spacing w:after="0" w:line="240" w:lineRule="auto"/>
        <w:ind w:left="765" w:right="816"/>
        <w:jc w:val="both"/>
        <w:rPr>
          <w:rFonts w:ascii="Times New Roman" w:hAnsi="Times New Roman" w:cs="Times New Roman"/>
          <w:sz w:val="24"/>
          <w:szCs w:val="24"/>
        </w:rPr>
      </w:pPr>
    </w:p>
    <w:p w:rsidR="005B30A4" w:rsidRPr="00F24FF8" w:rsidRDefault="005B30A4" w:rsidP="005B30A4">
      <w:pPr>
        <w:pStyle w:val="Prrafodelista"/>
        <w:numPr>
          <w:ilvl w:val="0"/>
          <w:numId w:val="26"/>
        </w:numPr>
        <w:spacing w:after="0" w:line="278" w:lineRule="auto"/>
        <w:jc w:val="both"/>
        <w:rPr>
          <w:rFonts w:ascii="Times New Roman" w:hAnsi="Times New Roman" w:cs="Times New Roman"/>
          <w:sz w:val="24"/>
          <w:szCs w:val="24"/>
        </w:rPr>
      </w:pPr>
      <w:r w:rsidRPr="00F24FF8">
        <w:rPr>
          <w:rFonts w:ascii="Times New Roman" w:hAnsi="Times New Roman" w:cs="Times New Roman"/>
          <w:sz w:val="24"/>
          <w:szCs w:val="24"/>
        </w:rPr>
        <w:lastRenderedPageBreak/>
        <w:t xml:space="preserve">Que conforme al Art. 130 de la Ley General Tributaria Municipal, están afectos al pago de las tasas los servicios públicos, dentro de ellos los de aseo y alumbrado público y para la fijación de las tarifas por tasas, los Municipios deberán de tomar en cuenta los costos del suministro, el beneficio que presta a los usuarios y la realidad socio económica de la población. </w:t>
      </w:r>
    </w:p>
    <w:p w:rsidR="005B30A4" w:rsidRPr="00F24FF8" w:rsidRDefault="005B30A4" w:rsidP="005B30A4">
      <w:pPr>
        <w:spacing w:after="0" w:line="278" w:lineRule="auto"/>
        <w:ind w:right="817"/>
        <w:jc w:val="both"/>
        <w:rPr>
          <w:rFonts w:ascii="Times New Roman" w:hAnsi="Times New Roman" w:cs="Times New Roman"/>
          <w:sz w:val="24"/>
          <w:szCs w:val="24"/>
        </w:rPr>
      </w:pPr>
    </w:p>
    <w:p w:rsidR="005B30A4" w:rsidRPr="00F24FF8" w:rsidRDefault="005B30A4" w:rsidP="005B30A4">
      <w:pPr>
        <w:pStyle w:val="Prrafodelista"/>
        <w:numPr>
          <w:ilvl w:val="0"/>
          <w:numId w:val="26"/>
        </w:numPr>
        <w:spacing w:after="0" w:line="278" w:lineRule="auto"/>
        <w:jc w:val="both"/>
        <w:rPr>
          <w:rFonts w:ascii="Times New Roman" w:hAnsi="Times New Roman" w:cs="Times New Roman"/>
          <w:sz w:val="24"/>
          <w:szCs w:val="24"/>
        </w:rPr>
      </w:pPr>
      <w:r w:rsidRPr="00F24FF8">
        <w:rPr>
          <w:rFonts w:ascii="Times New Roman" w:hAnsi="Times New Roman" w:cs="Times New Roman"/>
          <w:sz w:val="24"/>
          <w:szCs w:val="24"/>
        </w:rPr>
        <w:t>Que los Arts. 142 y 143 de la Ley General Tributaria Municipal, establece que serán objeto de gravamen, las licencias, matrículas o patentes.</w:t>
      </w:r>
    </w:p>
    <w:p w:rsidR="005B30A4" w:rsidRPr="00F24FF8" w:rsidRDefault="005B30A4" w:rsidP="005B30A4">
      <w:pPr>
        <w:spacing w:after="0" w:line="278" w:lineRule="auto"/>
        <w:ind w:right="817"/>
        <w:jc w:val="both"/>
        <w:rPr>
          <w:rFonts w:ascii="Times New Roman" w:hAnsi="Times New Roman" w:cs="Times New Roman"/>
          <w:sz w:val="24"/>
          <w:szCs w:val="24"/>
        </w:rPr>
      </w:pPr>
    </w:p>
    <w:p w:rsidR="005B30A4" w:rsidRPr="00F24FF8" w:rsidRDefault="005B30A4" w:rsidP="005B30A4">
      <w:pPr>
        <w:pStyle w:val="Prrafodelista"/>
        <w:numPr>
          <w:ilvl w:val="0"/>
          <w:numId w:val="26"/>
        </w:numPr>
        <w:spacing w:after="0" w:line="278" w:lineRule="auto"/>
        <w:jc w:val="both"/>
        <w:rPr>
          <w:rFonts w:ascii="Times New Roman" w:hAnsi="Times New Roman" w:cs="Times New Roman"/>
          <w:sz w:val="24"/>
          <w:szCs w:val="24"/>
        </w:rPr>
      </w:pPr>
      <w:r w:rsidRPr="00F24FF8">
        <w:rPr>
          <w:rFonts w:ascii="Times New Roman" w:hAnsi="Times New Roman" w:cs="Times New Roman"/>
          <w:sz w:val="24"/>
          <w:szCs w:val="24"/>
        </w:rPr>
        <w:t xml:space="preserve">Que el Art. 153 de la Ley General Tributaria Municipal, establece que los municipios deberán revisar periódicamente, entre otros, Ordenanzas Tributarias, con el propósito de actualizarlas de conformidad a las condiciones de la realidad socioeconómica, imperante en el país. </w:t>
      </w:r>
    </w:p>
    <w:p w:rsidR="005B30A4" w:rsidRPr="00F24FF8" w:rsidRDefault="005B30A4" w:rsidP="005B30A4">
      <w:pPr>
        <w:spacing w:after="0" w:line="278" w:lineRule="auto"/>
        <w:ind w:right="817"/>
        <w:jc w:val="both"/>
        <w:rPr>
          <w:rFonts w:ascii="Times New Roman" w:hAnsi="Times New Roman" w:cs="Times New Roman"/>
          <w:sz w:val="24"/>
          <w:szCs w:val="24"/>
        </w:rPr>
      </w:pPr>
    </w:p>
    <w:p w:rsidR="005B30A4" w:rsidRPr="00F24FF8" w:rsidRDefault="005B30A4" w:rsidP="005B30A4">
      <w:pPr>
        <w:pStyle w:val="Prrafodelista"/>
        <w:numPr>
          <w:ilvl w:val="0"/>
          <w:numId w:val="26"/>
        </w:numPr>
        <w:spacing w:after="0" w:line="278" w:lineRule="auto"/>
        <w:jc w:val="both"/>
        <w:rPr>
          <w:rFonts w:ascii="Times New Roman" w:hAnsi="Times New Roman" w:cs="Times New Roman"/>
          <w:sz w:val="24"/>
          <w:szCs w:val="24"/>
        </w:rPr>
      </w:pPr>
      <w:r w:rsidRPr="00F24FF8">
        <w:rPr>
          <w:rFonts w:ascii="Times New Roman" w:hAnsi="Times New Roman" w:cs="Times New Roman"/>
          <w:sz w:val="24"/>
          <w:szCs w:val="24"/>
        </w:rPr>
        <w:t xml:space="preserve">Que el Art. 154 de la Ley General Tributaria Municipal, establece que cuando la actualización de las Ordenanzas de Tasas, consista en el ajuste o reajuste y éstas provoquen el aumento en los tributos, se estará a lo dispuesto al Art. 130 inciso segundo y tercero de la referida Ley. </w:t>
      </w:r>
    </w:p>
    <w:p w:rsidR="005B30A4" w:rsidRPr="00F24FF8" w:rsidRDefault="005B30A4" w:rsidP="005B30A4">
      <w:pPr>
        <w:spacing w:after="0" w:line="278" w:lineRule="auto"/>
        <w:ind w:right="817"/>
        <w:jc w:val="both"/>
        <w:rPr>
          <w:rFonts w:ascii="Times New Roman" w:hAnsi="Times New Roman" w:cs="Times New Roman"/>
          <w:sz w:val="24"/>
          <w:szCs w:val="24"/>
        </w:rPr>
      </w:pPr>
    </w:p>
    <w:p w:rsidR="005B30A4" w:rsidRPr="00F24FF8" w:rsidRDefault="005B30A4" w:rsidP="005B30A4">
      <w:pPr>
        <w:pStyle w:val="Prrafodelista"/>
        <w:numPr>
          <w:ilvl w:val="0"/>
          <w:numId w:val="26"/>
        </w:numPr>
        <w:spacing w:after="0" w:line="278" w:lineRule="auto"/>
        <w:jc w:val="both"/>
        <w:rPr>
          <w:rFonts w:ascii="Times New Roman" w:hAnsi="Times New Roman" w:cs="Times New Roman"/>
          <w:sz w:val="24"/>
          <w:szCs w:val="24"/>
        </w:rPr>
      </w:pPr>
      <w:r w:rsidRPr="00F24FF8">
        <w:rPr>
          <w:rFonts w:ascii="Times New Roman" w:hAnsi="Times New Roman" w:cs="Times New Roman"/>
          <w:sz w:val="24"/>
          <w:szCs w:val="24"/>
        </w:rPr>
        <w:t>Que conforme al Art. 87 del Código Municipal, los ingresos Municipales de toda naturaleza se centralizará en el Fondo General del Municipio.</w:t>
      </w:r>
    </w:p>
    <w:p w:rsidR="005B30A4" w:rsidRPr="00F24FF8" w:rsidRDefault="005B30A4" w:rsidP="005B30A4">
      <w:pPr>
        <w:spacing w:after="0" w:line="240" w:lineRule="auto"/>
        <w:ind w:left="45" w:right="816"/>
        <w:jc w:val="both"/>
        <w:rPr>
          <w:rFonts w:ascii="Times New Roman" w:hAnsi="Times New Roman" w:cs="Times New Roman"/>
          <w:sz w:val="24"/>
          <w:szCs w:val="24"/>
        </w:rPr>
      </w:pPr>
    </w:p>
    <w:p w:rsidR="005B30A4" w:rsidRPr="00F24FF8" w:rsidRDefault="005B30A4" w:rsidP="005B30A4">
      <w:pPr>
        <w:spacing w:after="0" w:line="240" w:lineRule="auto"/>
        <w:ind w:left="45"/>
        <w:jc w:val="both"/>
        <w:rPr>
          <w:rFonts w:ascii="Times New Roman" w:hAnsi="Times New Roman" w:cs="Times New Roman"/>
          <w:sz w:val="24"/>
          <w:szCs w:val="24"/>
        </w:rPr>
      </w:pPr>
      <w:r w:rsidRPr="00F24FF8">
        <w:rPr>
          <w:rFonts w:ascii="Times New Roman" w:hAnsi="Times New Roman" w:cs="Times New Roman"/>
          <w:b/>
          <w:sz w:val="24"/>
          <w:szCs w:val="24"/>
        </w:rPr>
        <w:t>POR TANTO:</w:t>
      </w:r>
      <w:r w:rsidRPr="00F24FF8">
        <w:rPr>
          <w:rFonts w:ascii="Times New Roman" w:hAnsi="Times New Roman" w:cs="Times New Roman"/>
          <w:sz w:val="24"/>
          <w:szCs w:val="24"/>
        </w:rPr>
        <w:t xml:space="preserve"> En uso de sus facultades legales y constitucionales del Art. 204 de la Constitución de la República, el Artículo 30 N°. 4 del Código Municipal y los Artículos 2, 5, 7 inc. 2° y 72 de la Ley General Tributaria Municipal. </w:t>
      </w:r>
    </w:p>
    <w:p w:rsidR="005B30A4" w:rsidRPr="00F24FF8" w:rsidRDefault="005B30A4" w:rsidP="005B30A4">
      <w:pPr>
        <w:spacing w:after="0" w:line="240" w:lineRule="auto"/>
        <w:ind w:left="45"/>
        <w:jc w:val="both"/>
        <w:rPr>
          <w:rFonts w:ascii="Times New Roman" w:hAnsi="Times New Roman" w:cs="Times New Roman"/>
          <w:sz w:val="24"/>
          <w:szCs w:val="24"/>
        </w:rPr>
      </w:pPr>
    </w:p>
    <w:p w:rsidR="005B30A4" w:rsidRPr="00F24FF8" w:rsidRDefault="005B30A4" w:rsidP="005B30A4">
      <w:pPr>
        <w:spacing w:after="0" w:line="240" w:lineRule="auto"/>
        <w:jc w:val="both"/>
        <w:rPr>
          <w:rFonts w:ascii="Times New Roman" w:hAnsi="Times New Roman" w:cs="Times New Roman"/>
          <w:sz w:val="24"/>
          <w:szCs w:val="24"/>
        </w:rPr>
      </w:pPr>
      <w:r w:rsidRPr="00F24FF8">
        <w:rPr>
          <w:rFonts w:ascii="Times New Roman" w:hAnsi="Times New Roman" w:cs="Times New Roman"/>
          <w:b/>
          <w:sz w:val="24"/>
          <w:szCs w:val="24"/>
        </w:rPr>
        <w:t>DECRETA:</w:t>
      </w:r>
      <w:r w:rsidRPr="00F24FF8">
        <w:rPr>
          <w:rFonts w:ascii="Times New Roman" w:hAnsi="Times New Roman" w:cs="Times New Roman"/>
          <w:sz w:val="24"/>
          <w:szCs w:val="24"/>
        </w:rPr>
        <w:t xml:space="preserve"> "LA REFORMA A LA “ORDENANZA REGULADORA DE TASAS POR SERVICIOS MUNICIPALES DE SAN LUIS LA HERRADURA, DEPARTAMENTO DE LA PAZ, EN  SU CAPITULO SEGUNDO DE LAS TASAS  ART. 7 SERVICIOS PÚBLICOS N°.1, N°. 2 yN°. 10 literal a) numerales 01,02 y 03”.</w:t>
      </w:r>
    </w:p>
    <w:p w:rsidR="005B30A4" w:rsidRPr="00F24FF8" w:rsidRDefault="005B30A4" w:rsidP="005B30A4">
      <w:pPr>
        <w:spacing w:after="0" w:line="240" w:lineRule="auto"/>
        <w:ind w:right="816"/>
        <w:jc w:val="both"/>
        <w:rPr>
          <w:rFonts w:ascii="Times New Roman" w:eastAsia="Arial" w:hAnsi="Times New Roman" w:cs="Times New Roman"/>
          <w:b/>
          <w:spacing w:val="-2"/>
          <w:sz w:val="24"/>
          <w:szCs w:val="24"/>
        </w:rPr>
      </w:pPr>
    </w:p>
    <w:p w:rsidR="005B30A4" w:rsidRPr="00F24FF8" w:rsidRDefault="005B30A4" w:rsidP="005B30A4">
      <w:pPr>
        <w:tabs>
          <w:tab w:val="left" w:pos="2564"/>
        </w:tabs>
        <w:spacing w:line="278" w:lineRule="auto"/>
        <w:ind w:right="817"/>
        <w:jc w:val="both"/>
        <w:rPr>
          <w:rFonts w:ascii="Times New Roman" w:eastAsia="Arial" w:hAnsi="Times New Roman" w:cs="Times New Roman"/>
          <w:b/>
          <w:spacing w:val="-2"/>
          <w:sz w:val="24"/>
          <w:szCs w:val="24"/>
        </w:rPr>
      </w:pPr>
      <w:r w:rsidRPr="00F24FF8">
        <w:rPr>
          <w:rFonts w:ascii="Times New Roman" w:eastAsia="Arial" w:hAnsi="Times New Roman" w:cs="Times New Roman"/>
          <w:b/>
          <w:spacing w:val="-2"/>
          <w:sz w:val="24"/>
          <w:szCs w:val="24"/>
        </w:rPr>
        <w:t xml:space="preserve">CAPITULO SEGUNDO </w:t>
      </w:r>
      <w:r w:rsidRPr="00F24FF8">
        <w:rPr>
          <w:rFonts w:ascii="Times New Roman" w:eastAsia="Arial" w:hAnsi="Times New Roman" w:cs="Times New Roman"/>
          <w:b/>
          <w:spacing w:val="-2"/>
          <w:sz w:val="24"/>
          <w:szCs w:val="24"/>
        </w:rPr>
        <w:tab/>
      </w:r>
    </w:p>
    <w:p w:rsidR="005B30A4" w:rsidRPr="00F24FF8" w:rsidRDefault="005B30A4" w:rsidP="005B30A4">
      <w:pPr>
        <w:spacing w:line="278" w:lineRule="auto"/>
        <w:ind w:right="817"/>
        <w:jc w:val="both"/>
        <w:rPr>
          <w:rFonts w:ascii="Times New Roman" w:eastAsia="Arial" w:hAnsi="Times New Roman" w:cs="Times New Roman"/>
          <w:b/>
          <w:spacing w:val="-2"/>
          <w:sz w:val="24"/>
          <w:szCs w:val="24"/>
        </w:rPr>
      </w:pPr>
      <w:r w:rsidRPr="00F24FF8">
        <w:rPr>
          <w:rFonts w:ascii="Times New Roman" w:eastAsia="Arial" w:hAnsi="Times New Roman" w:cs="Times New Roman"/>
          <w:b/>
          <w:spacing w:val="-2"/>
          <w:sz w:val="24"/>
          <w:szCs w:val="24"/>
        </w:rPr>
        <w:t>DE LAS TASAS.</w:t>
      </w:r>
    </w:p>
    <w:p w:rsidR="005B30A4" w:rsidRPr="00F24FF8" w:rsidRDefault="005B30A4" w:rsidP="005B30A4">
      <w:pPr>
        <w:spacing w:after="0" w:line="240" w:lineRule="auto"/>
        <w:ind w:right="91"/>
        <w:jc w:val="both"/>
        <w:rPr>
          <w:rFonts w:ascii="Arial" w:eastAsia="Arial" w:hAnsi="Arial" w:cs="Arial"/>
          <w:b/>
          <w:spacing w:val="-2"/>
        </w:rPr>
      </w:pPr>
    </w:p>
    <w:p w:rsidR="005B30A4" w:rsidRPr="00F24FF8" w:rsidRDefault="005B30A4" w:rsidP="005B30A4">
      <w:pPr>
        <w:spacing w:line="278" w:lineRule="auto"/>
        <w:jc w:val="both"/>
        <w:rPr>
          <w:rFonts w:ascii="Arial" w:eastAsia="Arial" w:hAnsi="Arial" w:cs="Arial"/>
        </w:rPr>
      </w:pPr>
      <w:r w:rsidRPr="00F24FF8">
        <w:rPr>
          <w:rFonts w:ascii="Arial" w:eastAsia="Arial" w:hAnsi="Arial" w:cs="Arial"/>
          <w:b/>
          <w:spacing w:val="-2"/>
        </w:rPr>
        <w:t xml:space="preserve">Art. 7.- </w:t>
      </w:r>
      <w:r w:rsidRPr="00F24FF8">
        <w:rPr>
          <w:rFonts w:ascii="Arial" w:eastAsia="Arial" w:hAnsi="Arial" w:cs="Arial"/>
        </w:rPr>
        <w:t xml:space="preserve">Se establecen las siguientes TASAS POR SERVICIOS MUNICIPALES, que la Municipalidad de SAN LUIS LA HERRADURA, presta a sus habitantes residentes en su jurisdicción como se detalla a continuación: </w:t>
      </w:r>
    </w:p>
    <w:p w:rsidR="005B30A4" w:rsidRPr="00F24FF8" w:rsidRDefault="005B30A4" w:rsidP="005B30A4">
      <w:pPr>
        <w:spacing w:after="0" w:line="240" w:lineRule="auto"/>
        <w:ind w:right="91"/>
        <w:jc w:val="both"/>
        <w:rPr>
          <w:rFonts w:ascii="Arial" w:eastAsia="Arial" w:hAnsi="Arial" w:cs="Arial"/>
          <w:b/>
        </w:rPr>
      </w:pPr>
    </w:p>
    <w:p w:rsidR="005B30A4" w:rsidRPr="00F24FF8" w:rsidRDefault="005B30A4" w:rsidP="005B30A4">
      <w:pPr>
        <w:spacing w:line="278" w:lineRule="auto"/>
        <w:ind w:right="89"/>
        <w:jc w:val="both"/>
        <w:rPr>
          <w:rFonts w:ascii="Arial" w:eastAsia="Arial" w:hAnsi="Arial" w:cs="Arial"/>
          <w:b/>
        </w:rPr>
      </w:pPr>
      <w:r w:rsidRPr="00F24FF8">
        <w:rPr>
          <w:rFonts w:ascii="Arial" w:eastAsia="Arial" w:hAnsi="Arial" w:cs="Arial"/>
          <w:b/>
        </w:rPr>
        <w:t>SERVICIOS PÚBLICOS.</w:t>
      </w:r>
    </w:p>
    <w:p w:rsidR="005B30A4" w:rsidRPr="00F24FF8" w:rsidRDefault="005B30A4" w:rsidP="005B30A4">
      <w:pPr>
        <w:spacing w:after="0" w:line="240" w:lineRule="auto"/>
        <w:ind w:left="102"/>
        <w:jc w:val="both"/>
        <w:rPr>
          <w:rFonts w:ascii="Arial" w:eastAsia="Arial" w:hAnsi="Arial" w:cs="Arial"/>
          <w:b/>
          <w:spacing w:val="-2"/>
        </w:rPr>
      </w:pPr>
    </w:p>
    <w:p w:rsidR="005B30A4" w:rsidRPr="00F24FF8" w:rsidRDefault="005B30A4" w:rsidP="005B30A4">
      <w:pPr>
        <w:jc w:val="both"/>
        <w:rPr>
          <w:rFonts w:ascii="Arial" w:eastAsia="Arial" w:hAnsi="Arial" w:cs="Arial"/>
        </w:rPr>
      </w:pPr>
      <w:r w:rsidRPr="00F24FF8">
        <w:rPr>
          <w:rFonts w:ascii="Arial" w:eastAsia="Arial" w:hAnsi="Arial" w:cs="Arial"/>
          <w:b/>
          <w:spacing w:val="-2"/>
        </w:rPr>
        <w:t>No</w:t>
      </w:r>
      <w:r w:rsidRPr="00F24FF8">
        <w:rPr>
          <w:rFonts w:ascii="Arial" w:eastAsia="Arial" w:hAnsi="Arial" w:cs="Arial"/>
          <w:b/>
        </w:rPr>
        <w:t>.1</w:t>
      </w:r>
      <w:r w:rsidRPr="00F24FF8">
        <w:rPr>
          <w:rFonts w:ascii="Arial" w:eastAsia="Arial" w:hAnsi="Arial" w:cs="Arial"/>
          <w:b/>
          <w:spacing w:val="-2"/>
        </w:rPr>
        <w:t>ALU</w:t>
      </w:r>
      <w:r w:rsidRPr="00F24FF8">
        <w:rPr>
          <w:rFonts w:ascii="Arial" w:eastAsia="Arial" w:hAnsi="Arial" w:cs="Arial"/>
          <w:b/>
          <w:spacing w:val="2"/>
        </w:rPr>
        <w:t>M</w:t>
      </w:r>
      <w:r w:rsidRPr="00F24FF8">
        <w:rPr>
          <w:rFonts w:ascii="Arial" w:eastAsia="Arial" w:hAnsi="Arial" w:cs="Arial"/>
          <w:b/>
          <w:spacing w:val="-2"/>
        </w:rPr>
        <w:t>B</w:t>
      </w:r>
      <w:r w:rsidRPr="00F24FF8">
        <w:rPr>
          <w:rFonts w:ascii="Arial" w:eastAsia="Arial" w:hAnsi="Arial" w:cs="Arial"/>
          <w:b/>
          <w:spacing w:val="2"/>
        </w:rPr>
        <w:t>R</w:t>
      </w:r>
      <w:r w:rsidRPr="00F24FF8">
        <w:rPr>
          <w:rFonts w:ascii="Arial" w:eastAsia="Arial" w:hAnsi="Arial" w:cs="Arial"/>
          <w:b/>
          <w:spacing w:val="-2"/>
        </w:rPr>
        <w:t>AD</w:t>
      </w:r>
      <w:r w:rsidRPr="00F24FF8">
        <w:rPr>
          <w:rFonts w:ascii="Arial" w:eastAsia="Arial" w:hAnsi="Arial" w:cs="Arial"/>
          <w:b/>
        </w:rPr>
        <w:t>OP</w:t>
      </w:r>
      <w:r w:rsidRPr="00F24FF8">
        <w:rPr>
          <w:rFonts w:ascii="Arial" w:eastAsia="Arial" w:hAnsi="Arial" w:cs="Arial"/>
          <w:b/>
          <w:spacing w:val="2"/>
        </w:rPr>
        <w:t>Ú</w:t>
      </w:r>
      <w:r w:rsidRPr="00F24FF8">
        <w:rPr>
          <w:rFonts w:ascii="Arial" w:eastAsia="Arial" w:hAnsi="Arial" w:cs="Arial"/>
          <w:b/>
          <w:spacing w:val="-2"/>
        </w:rPr>
        <w:t>B</w:t>
      </w:r>
      <w:r w:rsidRPr="00F24FF8">
        <w:rPr>
          <w:rFonts w:ascii="Arial" w:eastAsia="Arial" w:hAnsi="Arial" w:cs="Arial"/>
          <w:b/>
          <w:spacing w:val="2"/>
        </w:rPr>
        <w:t>L</w:t>
      </w:r>
      <w:r w:rsidRPr="00F24FF8">
        <w:rPr>
          <w:rFonts w:ascii="Arial" w:eastAsia="Arial" w:hAnsi="Arial" w:cs="Arial"/>
          <w:b/>
          <w:spacing w:val="-2"/>
        </w:rPr>
        <w:t>IC</w:t>
      </w:r>
      <w:r w:rsidRPr="00F24FF8">
        <w:rPr>
          <w:rFonts w:ascii="Arial" w:eastAsia="Arial" w:hAnsi="Arial" w:cs="Arial"/>
          <w:b/>
          <w:spacing w:val="3"/>
        </w:rPr>
        <w:t>O</w:t>
      </w:r>
      <w:r w:rsidRPr="00F24FF8">
        <w:rPr>
          <w:rFonts w:ascii="Arial" w:eastAsia="Arial" w:hAnsi="Arial" w:cs="Arial"/>
        </w:rPr>
        <w:t>,</w:t>
      </w:r>
      <w:r w:rsidRPr="00F24FF8">
        <w:rPr>
          <w:rFonts w:ascii="Arial" w:eastAsia="Arial" w:hAnsi="Arial" w:cs="Arial"/>
          <w:spacing w:val="2"/>
        </w:rPr>
        <w:t>c</w:t>
      </w:r>
      <w:r w:rsidRPr="00F24FF8">
        <w:rPr>
          <w:rFonts w:ascii="Arial" w:eastAsia="Arial" w:hAnsi="Arial" w:cs="Arial"/>
        </w:rPr>
        <w:t>ada</w:t>
      </w:r>
      <w:r w:rsidRPr="00F24FF8">
        <w:rPr>
          <w:rFonts w:ascii="Arial" w:eastAsia="Arial" w:hAnsi="Arial" w:cs="Arial"/>
          <w:spacing w:val="2"/>
        </w:rPr>
        <w:t xml:space="preserve"> m</w:t>
      </w:r>
      <w:r w:rsidRPr="00F24FF8">
        <w:rPr>
          <w:rFonts w:ascii="Arial" w:eastAsia="Arial" w:hAnsi="Arial" w:cs="Arial"/>
        </w:rPr>
        <w:t>e</w:t>
      </w:r>
      <w:r w:rsidRPr="00F24FF8">
        <w:rPr>
          <w:rFonts w:ascii="Arial" w:eastAsia="Arial" w:hAnsi="Arial" w:cs="Arial"/>
          <w:spacing w:val="2"/>
        </w:rPr>
        <w:t>t</w:t>
      </w:r>
      <w:r w:rsidRPr="00F24FF8">
        <w:rPr>
          <w:rFonts w:ascii="Arial" w:eastAsia="Arial" w:hAnsi="Arial" w:cs="Arial"/>
        </w:rPr>
        <w:t>rolinealal</w:t>
      </w:r>
      <w:r w:rsidRPr="00F24FF8">
        <w:rPr>
          <w:rFonts w:ascii="Arial" w:eastAsia="Arial" w:hAnsi="Arial" w:cs="Arial"/>
          <w:spacing w:val="2"/>
        </w:rPr>
        <w:t xml:space="preserve"> m</w:t>
      </w:r>
      <w:r w:rsidRPr="00F24FF8">
        <w:rPr>
          <w:rFonts w:ascii="Arial" w:eastAsia="Arial" w:hAnsi="Arial" w:cs="Arial"/>
        </w:rPr>
        <w:t>e</w:t>
      </w:r>
      <w:r w:rsidRPr="00F24FF8">
        <w:rPr>
          <w:rFonts w:ascii="Arial" w:eastAsia="Arial" w:hAnsi="Arial" w:cs="Arial"/>
          <w:spacing w:val="-2"/>
        </w:rPr>
        <w:t xml:space="preserve">s, al inmueble </w:t>
      </w:r>
      <w:r w:rsidRPr="00F24FF8">
        <w:rPr>
          <w:rFonts w:ascii="Arial" w:eastAsia="Arial" w:hAnsi="Arial" w:cs="Arial"/>
        </w:rPr>
        <w:t>que</w:t>
      </w:r>
      <w:r w:rsidRPr="00F24FF8">
        <w:rPr>
          <w:rFonts w:ascii="Arial" w:eastAsia="Arial" w:hAnsi="Arial" w:cs="Arial"/>
          <w:spacing w:val="2"/>
        </w:rPr>
        <w:t xml:space="preserve"> s</w:t>
      </w:r>
      <w:r w:rsidRPr="00F24FF8">
        <w:rPr>
          <w:rFonts w:ascii="Arial" w:eastAsia="Arial" w:hAnsi="Arial" w:cs="Arial"/>
        </w:rPr>
        <w:t>een</w:t>
      </w:r>
      <w:r w:rsidRPr="00F24FF8">
        <w:rPr>
          <w:rFonts w:ascii="Arial" w:eastAsia="Arial" w:hAnsi="Arial" w:cs="Arial"/>
          <w:spacing w:val="2"/>
        </w:rPr>
        <w:t>c</w:t>
      </w:r>
      <w:r w:rsidRPr="00F24FF8">
        <w:rPr>
          <w:rFonts w:ascii="Arial" w:eastAsia="Arial" w:hAnsi="Arial" w:cs="Arial"/>
        </w:rPr>
        <w:t>uen</w:t>
      </w:r>
      <w:r w:rsidRPr="00F24FF8">
        <w:rPr>
          <w:rFonts w:ascii="Arial" w:eastAsia="Arial" w:hAnsi="Arial" w:cs="Arial"/>
          <w:spacing w:val="2"/>
        </w:rPr>
        <w:t>t</w:t>
      </w:r>
      <w:r w:rsidRPr="00F24FF8">
        <w:rPr>
          <w:rFonts w:ascii="Arial" w:eastAsia="Arial" w:hAnsi="Arial" w:cs="Arial"/>
          <w:spacing w:val="-4"/>
        </w:rPr>
        <w:t>r</w:t>
      </w:r>
      <w:r w:rsidRPr="00F24FF8">
        <w:rPr>
          <w:rFonts w:ascii="Arial" w:eastAsia="Arial" w:hAnsi="Arial" w:cs="Arial"/>
        </w:rPr>
        <w:t>een ladi</w:t>
      </w:r>
      <w:r w:rsidRPr="00F24FF8">
        <w:rPr>
          <w:rFonts w:ascii="Arial" w:eastAsia="Arial" w:hAnsi="Arial" w:cs="Arial"/>
          <w:spacing w:val="2"/>
        </w:rPr>
        <w:t>st</w:t>
      </w:r>
      <w:r w:rsidRPr="00F24FF8">
        <w:rPr>
          <w:rFonts w:ascii="Arial" w:eastAsia="Arial" w:hAnsi="Arial" w:cs="Arial"/>
        </w:rPr>
        <w:t>a</w:t>
      </w:r>
      <w:r w:rsidRPr="00F24FF8">
        <w:rPr>
          <w:rFonts w:ascii="Arial" w:eastAsia="Arial" w:hAnsi="Arial" w:cs="Arial"/>
          <w:spacing w:val="-4"/>
        </w:rPr>
        <w:t>n</w:t>
      </w:r>
      <w:r w:rsidRPr="00F24FF8">
        <w:rPr>
          <w:rFonts w:ascii="Arial" w:eastAsia="Arial" w:hAnsi="Arial" w:cs="Arial"/>
          <w:spacing w:val="2"/>
        </w:rPr>
        <w:t>c</w:t>
      </w:r>
      <w:r w:rsidRPr="00F24FF8">
        <w:rPr>
          <w:rFonts w:ascii="Arial" w:eastAsia="Arial" w:hAnsi="Arial" w:cs="Arial"/>
        </w:rPr>
        <w:t xml:space="preserve">iade </w:t>
      </w:r>
      <w:r w:rsidRPr="00F24FF8">
        <w:rPr>
          <w:rFonts w:ascii="Arial" w:eastAsia="Arial" w:hAnsi="Arial" w:cs="Arial"/>
          <w:spacing w:val="2"/>
        </w:rPr>
        <w:t>c</w:t>
      </w:r>
      <w:r w:rsidRPr="00F24FF8">
        <w:rPr>
          <w:rFonts w:ascii="Arial" w:eastAsia="Arial" w:hAnsi="Arial" w:cs="Arial"/>
        </w:rPr>
        <w:t>i</w:t>
      </w:r>
      <w:r w:rsidRPr="00F24FF8">
        <w:rPr>
          <w:rFonts w:ascii="Arial" w:eastAsia="Arial" w:hAnsi="Arial" w:cs="Arial"/>
          <w:spacing w:val="-4"/>
        </w:rPr>
        <w:t>n</w:t>
      </w:r>
      <w:r w:rsidRPr="00F24FF8">
        <w:rPr>
          <w:rFonts w:ascii="Arial" w:eastAsia="Arial" w:hAnsi="Arial" w:cs="Arial"/>
          <w:spacing w:val="2"/>
        </w:rPr>
        <w:t>c</w:t>
      </w:r>
      <w:r w:rsidRPr="00F24FF8">
        <w:rPr>
          <w:rFonts w:ascii="Arial" w:eastAsia="Arial" w:hAnsi="Arial" w:cs="Arial"/>
        </w:rPr>
        <w:t>uen</w:t>
      </w:r>
      <w:r w:rsidRPr="00F24FF8">
        <w:rPr>
          <w:rFonts w:ascii="Arial" w:eastAsia="Arial" w:hAnsi="Arial" w:cs="Arial"/>
          <w:spacing w:val="2"/>
        </w:rPr>
        <w:t>t</w:t>
      </w:r>
      <w:r w:rsidRPr="00F24FF8">
        <w:rPr>
          <w:rFonts w:ascii="Arial" w:eastAsia="Arial" w:hAnsi="Arial" w:cs="Arial"/>
        </w:rPr>
        <w:t xml:space="preserve">a </w:t>
      </w:r>
      <w:r w:rsidRPr="00F24FF8">
        <w:rPr>
          <w:rFonts w:ascii="Arial" w:eastAsia="Arial" w:hAnsi="Arial" w:cs="Arial"/>
          <w:spacing w:val="2"/>
        </w:rPr>
        <w:t>m</w:t>
      </w:r>
      <w:r w:rsidRPr="00F24FF8">
        <w:rPr>
          <w:rFonts w:ascii="Arial" w:eastAsia="Arial" w:hAnsi="Arial" w:cs="Arial"/>
        </w:rPr>
        <w:t>e</w:t>
      </w:r>
      <w:r w:rsidRPr="00F24FF8">
        <w:rPr>
          <w:rFonts w:ascii="Arial" w:eastAsia="Arial" w:hAnsi="Arial" w:cs="Arial"/>
          <w:spacing w:val="2"/>
        </w:rPr>
        <w:t>t</w:t>
      </w:r>
      <w:r w:rsidRPr="00F24FF8">
        <w:rPr>
          <w:rFonts w:ascii="Arial" w:eastAsia="Arial" w:hAnsi="Arial" w:cs="Arial"/>
        </w:rPr>
        <w:t>r</w:t>
      </w:r>
      <w:r w:rsidRPr="00F24FF8">
        <w:rPr>
          <w:rFonts w:ascii="Arial" w:eastAsia="Arial" w:hAnsi="Arial" w:cs="Arial"/>
          <w:spacing w:val="-4"/>
        </w:rPr>
        <w:t>o</w:t>
      </w:r>
      <w:r w:rsidRPr="00F24FF8">
        <w:rPr>
          <w:rFonts w:ascii="Arial" w:eastAsia="Arial" w:hAnsi="Arial" w:cs="Arial"/>
        </w:rPr>
        <w:t>slineal</w:t>
      </w:r>
      <w:r w:rsidRPr="00F24FF8">
        <w:rPr>
          <w:rFonts w:ascii="Arial" w:eastAsia="Arial" w:hAnsi="Arial" w:cs="Arial"/>
          <w:spacing w:val="-4"/>
        </w:rPr>
        <w:t>e</w:t>
      </w:r>
      <w:r w:rsidRPr="00F24FF8">
        <w:rPr>
          <w:rFonts w:ascii="Arial" w:eastAsia="Arial" w:hAnsi="Arial" w:cs="Arial"/>
        </w:rPr>
        <w:t>sdel p</w:t>
      </w:r>
      <w:r w:rsidRPr="00F24FF8">
        <w:rPr>
          <w:rFonts w:ascii="Arial" w:eastAsia="Arial" w:hAnsi="Arial" w:cs="Arial"/>
          <w:spacing w:val="-4"/>
        </w:rPr>
        <w:t>o</w:t>
      </w:r>
      <w:r w:rsidRPr="00F24FF8">
        <w:rPr>
          <w:rFonts w:ascii="Arial" w:eastAsia="Arial" w:hAnsi="Arial" w:cs="Arial"/>
          <w:spacing w:val="2"/>
        </w:rPr>
        <w:t>st</w:t>
      </w:r>
      <w:r w:rsidRPr="00F24FF8">
        <w:rPr>
          <w:rFonts w:ascii="Arial" w:eastAsia="Arial" w:hAnsi="Arial" w:cs="Arial"/>
        </w:rPr>
        <w:t>e:</w:t>
      </w:r>
    </w:p>
    <w:p w:rsidR="005B30A4" w:rsidRPr="00F24FF8" w:rsidRDefault="005B30A4" w:rsidP="005B30A4">
      <w:pPr>
        <w:spacing w:after="0" w:line="240" w:lineRule="auto"/>
        <w:ind w:right="91"/>
        <w:jc w:val="both"/>
        <w:rPr>
          <w:rFonts w:ascii="Arial" w:eastAsia="Arial" w:hAnsi="Arial" w:cs="Arial"/>
          <w:strike/>
        </w:rPr>
      </w:pPr>
    </w:p>
    <w:p w:rsidR="005B30A4" w:rsidRPr="00F24FF8" w:rsidRDefault="005B30A4" w:rsidP="005B30A4">
      <w:pPr>
        <w:spacing w:line="278" w:lineRule="auto"/>
        <w:jc w:val="both"/>
        <w:rPr>
          <w:rFonts w:ascii="Arial" w:eastAsia="Arial" w:hAnsi="Arial" w:cs="Arial"/>
        </w:rPr>
      </w:pPr>
      <w:r w:rsidRPr="00F24FF8">
        <w:rPr>
          <w:rFonts w:ascii="Arial" w:eastAsia="Arial" w:hAnsi="Arial" w:cs="Arial"/>
        </w:rPr>
        <w:lastRenderedPageBreak/>
        <w:t>01.- Sea con lámpara de mercurio, sodio, LED u otras tecnologías, en i</w:t>
      </w:r>
      <w:r w:rsidRPr="00F24FF8">
        <w:rPr>
          <w:rFonts w:ascii="Arial" w:eastAsia="Arial" w:hAnsi="Arial" w:cs="Arial"/>
          <w:spacing w:val="-4"/>
        </w:rPr>
        <w:t>n</w:t>
      </w:r>
      <w:r w:rsidRPr="00F24FF8">
        <w:rPr>
          <w:rFonts w:ascii="Arial" w:eastAsia="Arial" w:hAnsi="Arial" w:cs="Arial"/>
          <w:spacing w:val="2"/>
        </w:rPr>
        <w:t>m</w:t>
      </w:r>
      <w:r w:rsidRPr="00F24FF8">
        <w:rPr>
          <w:rFonts w:ascii="Arial" w:eastAsia="Arial" w:hAnsi="Arial" w:cs="Arial"/>
        </w:rPr>
        <w:t>uebles de</w:t>
      </w:r>
      <w:r w:rsidRPr="00F24FF8">
        <w:rPr>
          <w:rFonts w:ascii="Arial" w:eastAsia="Arial" w:hAnsi="Arial" w:cs="Arial"/>
          <w:spacing w:val="2"/>
        </w:rPr>
        <w:t>st</w:t>
      </w:r>
      <w:r w:rsidRPr="00F24FF8">
        <w:rPr>
          <w:rFonts w:ascii="Arial" w:eastAsia="Arial" w:hAnsi="Arial" w:cs="Arial"/>
        </w:rPr>
        <w:t>inadosparael</w:t>
      </w:r>
      <w:r w:rsidRPr="00F24FF8">
        <w:rPr>
          <w:rFonts w:ascii="Arial" w:eastAsia="Arial" w:hAnsi="Arial" w:cs="Arial"/>
          <w:spacing w:val="2"/>
        </w:rPr>
        <w:t>f</w:t>
      </w:r>
      <w:r w:rsidRPr="00F24FF8">
        <w:rPr>
          <w:rFonts w:ascii="Arial" w:eastAsia="Arial" w:hAnsi="Arial" w:cs="Arial"/>
        </w:rPr>
        <w:t>un</w:t>
      </w:r>
      <w:r w:rsidRPr="00F24FF8">
        <w:rPr>
          <w:rFonts w:ascii="Arial" w:eastAsia="Arial" w:hAnsi="Arial" w:cs="Arial"/>
          <w:spacing w:val="2"/>
        </w:rPr>
        <w:t>c</w:t>
      </w:r>
      <w:r w:rsidRPr="00F24FF8">
        <w:rPr>
          <w:rFonts w:ascii="Arial" w:eastAsia="Arial" w:hAnsi="Arial" w:cs="Arial"/>
        </w:rPr>
        <w:t>ion</w:t>
      </w:r>
      <w:r w:rsidRPr="00F24FF8">
        <w:rPr>
          <w:rFonts w:ascii="Arial" w:eastAsia="Arial" w:hAnsi="Arial" w:cs="Arial"/>
          <w:spacing w:val="-4"/>
        </w:rPr>
        <w:t>a</w:t>
      </w:r>
      <w:r w:rsidRPr="00F24FF8">
        <w:rPr>
          <w:rFonts w:ascii="Arial" w:eastAsia="Arial" w:hAnsi="Arial" w:cs="Arial"/>
          <w:spacing w:val="2"/>
        </w:rPr>
        <w:t>m</w:t>
      </w:r>
      <w:r w:rsidRPr="00F24FF8">
        <w:rPr>
          <w:rFonts w:ascii="Arial" w:eastAsia="Arial" w:hAnsi="Arial" w:cs="Arial"/>
        </w:rPr>
        <w:t>ien</w:t>
      </w:r>
      <w:r w:rsidRPr="00F24FF8">
        <w:rPr>
          <w:rFonts w:ascii="Arial" w:eastAsia="Arial" w:hAnsi="Arial" w:cs="Arial"/>
          <w:spacing w:val="2"/>
        </w:rPr>
        <w:t>t</w:t>
      </w:r>
      <w:r w:rsidRPr="00F24FF8">
        <w:rPr>
          <w:rFonts w:ascii="Arial" w:eastAsia="Arial" w:hAnsi="Arial" w:cs="Arial"/>
        </w:rPr>
        <w:t>odee</w:t>
      </w:r>
      <w:r w:rsidRPr="00F24FF8">
        <w:rPr>
          <w:rFonts w:ascii="Arial" w:eastAsia="Arial" w:hAnsi="Arial" w:cs="Arial"/>
          <w:spacing w:val="2"/>
        </w:rPr>
        <w:t>m</w:t>
      </w:r>
      <w:r w:rsidRPr="00F24FF8">
        <w:rPr>
          <w:rFonts w:ascii="Arial" w:eastAsia="Arial" w:hAnsi="Arial" w:cs="Arial"/>
        </w:rPr>
        <w:t>pre</w:t>
      </w:r>
      <w:r w:rsidRPr="00F24FF8">
        <w:rPr>
          <w:rFonts w:ascii="Arial" w:eastAsia="Arial" w:hAnsi="Arial" w:cs="Arial"/>
          <w:spacing w:val="2"/>
        </w:rPr>
        <w:t>s</w:t>
      </w:r>
      <w:r w:rsidRPr="00F24FF8">
        <w:rPr>
          <w:rFonts w:ascii="Arial" w:eastAsia="Arial" w:hAnsi="Arial" w:cs="Arial"/>
          <w:spacing w:val="-4"/>
        </w:rPr>
        <w:t>a</w:t>
      </w:r>
      <w:r w:rsidRPr="00F24FF8">
        <w:rPr>
          <w:rFonts w:ascii="Arial" w:eastAsia="Arial" w:hAnsi="Arial" w:cs="Arial"/>
        </w:rPr>
        <w:t>s</w:t>
      </w:r>
      <w:r w:rsidRPr="00F24FF8">
        <w:rPr>
          <w:rFonts w:ascii="Arial" w:eastAsia="Arial" w:hAnsi="Arial" w:cs="Arial"/>
          <w:spacing w:val="-2"/>
        </w:rPr>
        <w:t>c</w:t>
      </w:r>
      <w:r w:rsidRPr="00F24FF8">
        <w:rPr>
          <w:rFonts w:ascii="Arial" w:eastAsia="Arial" w:hAnsi="Arial" w:cs="Arial"/>
        </w:rPr>
        <w:t>o</w:t>
      </w:r>
      <w:r w:rsidRPr="00F24FF8">
        <w:rPr>
          <w:rFonts w:ascii="Arial" w:eastAsia="Arial" w:hAnsi="Arial" w:cs="Arial"/>
          <w:spacing w:val="2"/>
        </w:rPr>
        <w:t>m</w:t>
      </w:r>
      <w:r w:rsidRPr="00F24FF8">
        <w:rPr>
          <w:rFonts w:ascii="Arial" w:eastAsia="Arial" w:hAnsi="Arial" w:cs="Arial"/>
        </w:rPr>
        <w:t>er</w:t>
      </w:r>
      <w:r w:rsidRPr="00F24FF8">
        <w:rPr>
          <w:rFonts w:ascii="Arial" w:eastAsia="Arial" w:hAnsi="Arial" w:cs="Arial"/>
          <w:spacing w:val="2"/>
        </w:rPr>
        <w:t>c</w:t>
      </w:r>
      <w:r w:rsidRPr="00F24FF8">
        <w:rPr>
          <w:rFonts w:ascii="Arial" w:eastAsia="Arial" w:hAnsi="Arial" w:cs="Arial"/>
        </w:rPr>
        <w:t>iale</w:t>
      </w:r>
      <w:r w:rsidRPr="00F24FF8">
        <w:rPr>
          <w:rFonts w:ascii="Arial" w:eastAsia="Arial" w:hAnsi="Arial" w:cs="Arial"/>
          <w:spacing w:val="-2"/>
        </w:rPr>
        <w:t>s</w:t>
      </w:r>
      <w:r w:rsidRPr="00F24FF8">
        <w:rPr>
          <w:rFonts w:ascii="Arial" w:eastAsia="Arial" w:hAnsi="Arial" w:cs="Arial"/>
        </w:rPr>
        <w:t>,</w:t>
      </w:r>
      <w:r w:rsidRPr="00F24FF8">
        <w:rPr>
          <w:rFonts w:ascii="Arial" w:eastAsia="Arial" w:hAnsi="Arial" w:cs="Arial"/>
          <w:spacing w:val="8"/>
        </w:rPr>
        <w:t xml:space="preserve"> turísticas, </w:t>
      </w:r>
      <w:r w:rsidRPr="00F24FF8">
        <w:rPr>
          <w:rFonts w:ascii="Arial" w:eastAsia="Arial" w:hAnsi="Arial" w:cs="Arial"/>
        </w:rPr>
        <w:t>indu</w:t>
      </w:r>
      <w:r w:rsidRPr="00F24FF8">
        <w:rPr>
          <w:rFonts w:ascii="Arial" w:eastAsia="Arial" w:hAnsi="Arial" w:cs="Arial"/>
          <w:spacing w:val="2"/>
        </w:rPr>
        <w:t>st</w:t>
      </w:r>
      <w:r w:rsidRPr="00F24FF8">
        <w:rPr>
          <w:rFonts w:ascii="Arial" w:eastAsia="Arial" w:hAnsi="Arial" w:cs="Arial"/>
        </w:rPr>
        <w:t>rial</w:t>
      </w:r>
      <w:r w:rsidRPr="00F24FF8">
        <w:rPr>
          <w:rFonts w:ascii="Arial" w:eastAsia="Arial" w:hAnsi="Arial" w:cs="Arial"/>
          <w:spacing w:val="-4"/>
        </w:rPr>
        <w:t>e</w:t>
      </w:r>
      <w:r w:rsidRPr="00F24FF8">
        <w:rPr>
          <w:rFonts w:ascii="Arial" w:eastAsia="Arial" w:hAnsi="Arial" w:cs="Arial"/>
          <w:spacing w:val="2"/>
        </w:rPr>
        <w:t>s</w:t>
      </w:r>
      <w:r w:rsidRPr="00F24FF8">
        <w:rPr>
          <w:rFonts w:ascii="Arial" w:eastAsia="Arial" w:hAnsi="Arial" w:cs="Arial"/>
        </w:rPr>
        <w:t>,</w:t>
      </w:r>
      <w:r>
        <w:rPr>
          <w:rFonts w:ascii="Arial" w:eastAsia="Arial" w:hAnsi="Arial" w:cs="Arial"/>
        </w:rPr>
        <w:t xml:space="preserve"> </w:t>
      </w:r>
      <w:r w:rsidRPr="00F24FF8">
        <w:rPr>
          <w:rFonts w:ascii="Arial" w:eastAsia="Arial" w:hAnsi="Arial" w:cs="Arial"/>
          <w:spacing w:val="2"/>
        </w:rPr>
        <w:t>f</w:t>
      </w:r>
      <w:r w:rsidRPr="00F24FF8">
        <w:rPr>
          <w:rFonts w:ascii="Arial" w:eastAsia="Arial" w:hAnsi="Arial" w:cs="Arial"/>
        </w:rPr>
        <w:t>inan</w:t>
      </w:r>
      <w:r w:rsidRPr="00F24FF8">
        <w:rPr>
          <w:rFonts w:ascii="Arial" w:eastAsia="Arial" w:hAnsi="Arial" w:cs="Arial"/>
          <w:spacing w:val="2"/>
        </w:rPr>
        <w:t>c</w:t>
      </w:r>
      <w:r w:rsidRPr="00F24FF8">
        <w:rPr>
          <w:rFonts w:ascii="Arial" w:eastAsia="Arial" w:hAnsi="Arial" w:cs="Arial"/>
        </w:rPr>
        <w:t>ieras</w:t>
      </w:r>
      <w:r w:rsidRPr="00F24FF8">
        <w:rPr>
          <w:rFonts w:ascii="Arial" w:eastAsia="Arial" w:hAnsi="Arial" w:cs="Arial"/>
          <w:spacing w:val="15"/>
        </w:rPr>
        <w:t>,</w:t>
      </w:r>
      <w:r w:rsidRPr="00F24FF8">
        <w:rPr>
          <w:rFonts w:ascii="Arial" w:eastAsia="Arial" w:hAnsi="Arial" w:cs="Arial"/>
        </w:rPr>
        <w:t xml:space="preserve"> de </w:t>
      </w:r>
      <w:r w:rsidRPr="00F24FF8">
        <w:rPr>
          <w:rFonts w:ascii="Arial" w:eastAsia="Arial" w:hAnsi="Arial" w:cs="Arial"/>
          <w:spacing w:val="2"/>
        </w:rPr>
        <w:t>s</w:t>
      </w:r>
      <w:r w:rsidRPr="00F24FF8">
        <w:rPr>
          <w:rFonts w:ascii="Arial" w:eastAsia="Arial" w:hAnsi="Arial" w:cs="Arial"/>
        </w:rPr>
        <w:t>er</w:t>
      </w:r>
      <w:r w:rsidRPr="00F24FF8">
        <w:rPr>
          <w:rFonts w:ascii="Arial" w:eastAsia="Arial" w:hAnsi="Arial" w:cs="Arial"/>
          <w:spacing w:val="2"/>
        </w:rPr>
        <w:t>v</w:t>
      </w:r>
      <w:r w:rsidRPr="00F24FF8">
        <w:rPr>
          <w:rFonts w:ascii="Arial" w:eastAsia="Arial" w:hAnsi="Arial" w:cs="Arial"/>
        </w:rPr>
        <w:t>i</w:t>
      </w:r>
      <w:r w:rsidRPr="00F24FF8">
        <w:rPr>
          <w:rFonts w:ascii="Arial" w:eastAsia="Arial" w:hAnsi="Arial" w:cs="Arial"/>
          <w:spacing w:val="2"/>
        </w:rPr>
        <w:t>c</w:t>
      </w:r>
      <w:r w:rsidRPr="00F24FF8">
        <w:rPr>
          <w:rFonts w:ascii="Arial" w:eastAsia="Arial" w:hAnsi="Arial" w:cs="Arial"/>
        </w:rPr>
        <w:t>io</w:t>
      </w:r>
      <w:r w:rsidRPr="00F24FF8">
        <w:rPr>
          <w:rFonts w:ascii="Arial" w:eastAsia="Arial" w:hAnsi="Arial" w:cs="Arial"/>
          <w:spacing w:val="-2"/>
        </w:rPr>
        <w:t>s</w:t>
      </w:r>
      <w:r w:rsidRPr="00F24FF8">
        <w:rPr>
          <w:rFonts w:ascii="Arial" w:eastAsia="Arial" w:hAnsi="Arial" w:cs="Arial"/>
          <w:spacing w:val="8"/>
        </w:rPr>
        <w:t>,</w:t>
      </w:r>
      <w:r w:rsidRPr="00F24FF8">
        <w:rPr>
          <w:rFonts w:ascii="Arial" w:eastAsia="Arial" w:hAnsi="Arial" w:cs="Arial"/>
          <w:spacing w:val="2"/>
        </w:rPr>
        <w:t>t</w:t>
      </w:r>
      <w:r w:rsidRPr="00F24FF8">
        <w:rPr>
          <w:rFonts w:ascii="Arial" w:eastAsia="Arial" w:hAnsi="Arial" w:cs="Arial"/>
        </w:rPr>
        <w:t>odasl</w:t>
      </w:r>
      <w:r w:rsidRPr="00F24FF8">
        <w:rPr>
          <w:rFonts w:ascii="Arial" w:eastAsia="Arial" w:hAnsi="Arial" w:cs="Arial"/>
          <w:spacing w:val="-4"/>
        </w:rPr>
        <w:t>a</w:t>
      </w:r>
      <w:r w:rsidRPr="00F24FF8">
        <w:rPr>
          <w:rFonts w:ascii="Arial" w:eastAsia="Arial" w:hAnsi="Arial" w:cs="Arial"/>
        </w:rPr>
        <w:t>sin</w:t>
      </w:r>
      <w:r w:rsidRPr="00F24FF8">
        <w:rPr>
          <w:rFonts w:ascii="Arial" w:eastAsia="Arial" w:hAnsi="Arial" w:cs="Arial"/>
          <w:spacing w:val="-2"/>
        </w:rPr>
        <w:t>s</w:t>
      </w:r>
      <w:r w:rsidRPr="00F24FF8">
        <w:rPr>
          <w:rFonts w:ascii="Arial" w:eastAsia="Arial" w:hAnsi="Arial" w:cs="Arial"/>
          <w:spacing w:val="2"/>
        </w:rPr>
        <w:t>t</w:t>
      </w:r>
      <w:r w:rsidRPr="00F24FF8">
        <w:rPr>
          <w:rFonts w:ascii="Arial" w:eastAsia="Arial" w:hAnsi="Arial" w:cs="Arial"/>
        </w:rPr>
        <w:t>i</w:t>
      </w:r>
      <w:r w:rsidRPr="00F24FF8">
        <w:rPr>
          <w:rFonts w:ascii="Arial" w:eastAsia="Arial" w:hAnsi="Arial" w:cs="Arial"/>
          <w:spacing w:val="2"/>
        </w:rPr>
        <w:t>t</w:t>
      </w:r>
      <w:r w:rsidRPr="00F24FF8">
        <w:rPr>
          <w:rFonts w:ascii="Arial" w:eastAsia="Arial" w:hAnsi="Arial" w:cs="Arial"/>
          <w:spacing w:val="-4"/>
        </w:rPr>
        <w:t>u</w:t>
      </w:r>
      <w:r w:rsidRPr="00F24FF8">
        <w:rPr>
          <w:rFonts w:ascii="Arial" w:eastAsia="Arial" w:hAnsi="Arial" w:cs="Arial"/>
          <w:spacing w:val="2"/>
        </w:rPr>
        <w:t>c</w:t>
      </w:r>
      <w:r w:rsidRPr="00F24FF8">
        <w:rPr>
          <w:rFonts w:ascii="Arial" w:eastAsia="Arial" w:hAnsi="Arial" w:cs="Arial"/>
        </w:rPr>
        <w:t>ionesdelE</w:t>
      </w:r>
      <w:r w:rsidRPr="00F24FF8">
        <w:rPr>
          <w:rFonts w:ascii="Arial" w:eastAsia="Arial" w:hAnsi="Arial" w:cs="Arial"/>
          <w:spacing w:val="-2"/>
        </w:rPr>
        <w:t>s</w:t>
      </w:r>
      <w:r w:rsidRPr="00F24FF8">
        <w:rPr>
          <w:rFonts w:ascii="Arial" w:eastAsia="Arial" w:hAnsi="Arial" w:cs="Arial"/>
          <w:spacing w:val="2"/>
        </w:rPr>
        <w:t>t</w:t>
      </w:r>
      <w:r w:rsidRPr="00F24FF8">
        <w:rPr>
          <w:rFonts w:ascii="Arial" w:eastAsia="Arial" w:hAnsi="Arial" w:cs="Arial"/>
        </w:rPr>
        <w:t>adoyo</w:t>
      </w:r>
      <w:r w:rsidRPr="00F24FF8">
        <w:rPr>
          <w:rFonts w:ascii="Arial" w:eastAsia="Arial" w:hAnsi="Arial" w:cs="Arial"/>
          <w:spacing w:val="2"/>
        </w:rPr>
        <w:t>t</w:t>
      </w:r>
      <w:r w:rsidRPr="00F24FF8">
        <w:rPr>
          <w:rFonts w:ascii="Arial" w:eastAsia="Arial" w:hAnsi="Arial" w:cs="Arial"/>
        </w:rPr>
        <w:t>ras similares: $0.25</w:t>
      </w:r>
    </w:p>
    <w:p w:rsidR="005B30A4" w:rsidRPr="00F24FF8" w:rsidRDefault="005B30A4" w:rsidP="005B30A4">
      <w:pPr>
        <w:spacing w:after="0" w:line="240" w:lineRule="auto"/>
        <w:ind w:right="91"/>
        <w:jc w:val="both"/>
        <w:rPr>
          <w:rFonts w:ascii="Arial" w:eastAsia="Arial" w:hAnsi="Arial" w:cs="Arial"/>
        </w:rPr>
      </w:pPr>
    </w:p>
    <w:p w:rsidR="005B30A4" w:rsidRPr="00F24FF8" w:rsidRDefault="005B30A4" w:rsidP="005B30A4">
      <w:pPr>
        <w:spacing w:line="278" w:lineRule="auto"/>
        <w:jc w:val="both"/>
        <w:rPr>
          <w:rFonts w:ascii="Arial" w:eastAsia="Arial" w:hAnsi="Arial" w:cs="Arial"/>
        </w:rPr>
      </w:pPr>
      <w:r w:rsidRPr="00F24FF8">
        <w:rPr>
          <w:rFonts w:ascii="Arial" w:eastAsia="Arial" w:hAnsi="Arial" w:cs="Arial"/>
        </w:rPr>
        <w:t>02.- Sea con lámpara de mercurio, sodio, LED u otras tecnologías, en i</w:t>
      </w:r>
      <w:r w:rsidRPr="00F24FF8">
        <w:rPr>
          <w:rFonts w:ascii="Arial" w:eastAsia="Arial" w:hAnsi="Arial" w:cs="Arial"/>
          <w:spacing w:val="-4"/>
        </w:rPr>
        <w:t>n</w:t>
      </w:r>
      <w:r w:rsidRPr="00F24FF8">
        <w:rPr>
          <w:rFonts w:ascii="Arial" w:eastAsia="Arial" w:hAnsi="Arial" w:cs="Arial"/>
          <w:spacing w:val="2"/>
        </w:rPr>
        <w:t>m</w:t>
      </w:r>
      <w:r w:rsidRPr="00F24FF8">
        <w:rPr>
          <w:rFonts w:ascii="Arial" w:eastAsia="Arial" w:hAnsi="Arial" w:cs="Arial"/>
        </w:rPr>
        <w:t>uebles de</w:t>
      </w:r>
      <w:r w:rsidRPr="00F24FF8">
        <w:rPr>
          <w:rFonts w:ascii="Arial" w:eastAsia="Arial" w:hAnsi="Arial" w:cs="Arial"/>
          <w:spacing w:val="2"/>
        </w:rPr>
        <w:t>st</w:t>
      </w:r>
      <w:r w:rsidRPr="00F24FF8">
        <w:rPr>
          <w:rFonts w:ascii="Arial" w:eastAsia="Arial" w:hAnsi="Arial" w:cs="Arial"/>
        </w:rPr>
        <w:t>inadospara</w:t>
      </w:r>
      <w:r w:rsidRPr="00F24FF8">
        <w:rPr>
          <w:rFonts w:ascii="Arial" w:eastAsia="Arial" w:hAnsi="Arial" w:cs="Arial"/>
          <w:spacing w:val="-2"/>
        </w:rPr>
        <w:t>C</w:t>
      </w:r>
      <w:r w:rsidRPr="00F24FF8">
        <w:rPr>
          <w:rFonts w:ascii="Arial" w:eastAsia="Arial" w:hAnsi="Arial" w:cs="Arial"/>
        </w:rPr>
        <w:t>a</w:t>
      </w:r>
      <w:r w:rsidRPr="00F24FF8">
        <w:rPr>
          <w:rFonts w:ascii="Arial" w:eastAsia="Arial" w:hAnsi="Arial" w:cs="Arial"/>
          <w:spacing w:val="2"/>
        </w:rPr>
        <w:t>s</w:t>
      </w:r>
      <w:r w:rsidRPr="00F24FF8">
        <w:rPr>
          <w:rFonts w:ascii="Arial" w:eastAsia="Arial" w:hAnsi="Arial" w:cs="Arial"/>
        </w:rPr>
        <w:t>as dehab</w:t>
      </w:r>
      <w:r w:rsidRPr="00F24FF8">
        <w:rPr>
          <w:rFonts w:ascii="Arial" w:eastAsia="Arial" w:hAnsi="Arial" w:cs="Arial"/>
          <w:spacing w:val="-4"/>
        </w:rPr>
        <w:t>i</w:t>
      </w:r>
      <w:r w:rsidRPr="00F24FF8">
        <w:rPr>
          <w:rFonts w:ascii="Arial" w:eastAsia="Arial" w:hAnsi="Arial" w:cs="Arial"/>
          <w:spacing w:val="2"/>
        </w:rPr>
        <w:t>t</w:t>
      </w:r>
      <w:r w:rsidRPr="00F24FF8">
        <w:rPr>
          <w:rFonts w:ascii="Arial" w:eastAsia="Arial" w:hAnsi="Arial" w:cs="Arial"/>
        </w:rPr>
        <w:t>a</w:t>
      </w:r>
      <w:r w:rsidRPr="00F24FF8">
        <w:rPr>
          <w:rFonts w:ascii="Arial" w:eastAsia="Arial" w:hAnsi="Arial" w:cs="Arial"/>
          <w:spacing w:val="2"/>
        </w:rPr>
        <w:t>c</w:t>
      </w:r>
      <w:r w:rsidRPr="00F24FF8">
        <w:rPr>
          <w:rFonts w:ascii="Arial" w:eastAsia="Arial" w:hAnsi="Arial" w:cs="Arial"/>
        </w:rPr>
        <w:t>iónuni</w:t>
      </w:r>
      <w:r w:rsidRPr="00F24FF8">
        <w:rPr>
          <w:rFonts w:ascii="Arial" w:eastAsia="Arial" w:hAnsi="Arial" w:cs="Arial"/>
          <w:spacing w:val="2"/>
        </w:rPr>
        <w:t>f</w:t>
      </w:r>
      <w:r w:rsidRPr="00F24FF8">
        <w:rPr>
          <w:rFonts w:ascii="Arial" w:eastAsia="Arial" w:hAnsi="Arial" w:cs="Arial"/>
          <w:spacing w:val="-4"/>
        </w:rPr>
        <w:t>a</w:t>
      </w:r>
      <w:r w:rsidRPr="00F24FF8">
        <w:rPr>
          <w:rFonts w:ascii="Arial" w:eastAsia="Arial" w:hAnsi="Arial" w:cs="Arial"/>
          <w:spacing w:val="2"/>
        </w:rPr>
        <w:t>m</w:t>
      </w:r>
      <w:r w:rsidRPr="00F24FF8">
        <w:rPr>
          <w:rFonts w:ascii="Arial" w:eastAsia="Arial" w:hAnsi="Arial" w:cs="Arial"/>
        </w:rPr>
        <w:t>iliar, zona urbana: $0.20</w:t>
      </w:r>
    </w:p>
    <w:p w:rsidR="005B30A4" w:rsidRPr="00F24FF8" w:rsidRDefault="005B30A4" w:rsidP="005B30A4">
      <w:pPr>
        <w:spacing w:after="0" w:line="240" w:lineRule="auto"/>
        <w:ind w:right="91"/>
        <w:jc w:val="both"/>
        <w:rPr>
          <w:rFonts w:ascii="Arial" w:eastAsia="Arial" w:hAnsi="Arial" w:cs="Arial"/>
        </w:rPr>
      </w:pPr>
    </w:p>
    <w:p w:rsidR="005B30A4" w:rsidRPr="00F24FF8" w:rsidRDefault="005B30A4" w:rsidP="005B30A4">
      <w:pPr>
        <w:spacing w:line="278" w:lineRule="auto"/>
        <w:jc w:val="both"/>
        <w:rPr>
          <w:rFonts w:ascii="Arial" w:eastAsia="Arial" w:hAnsi="Arial" w:cs="Arial"/>
        </w:rPr>
      </w:pPr>
      <w:r w:rsidRPr="00F24FF8">
        <w:rPr>
          <w:rFonts w:ascii="Arial" w:eastAsia="Arial" w:hAnsi="Arial" w:cs="Arial"/>
        </w:rPr>
        <w:t>03.- Sea con lámpara de mercurio, sodio, LED u otras tecnologías, en i</w:t>
      </w:r>
      <w:r w:rsidRPr="00F24FF8">
        <w:rPr>
          <w:rFonts w:ascii="Arial" w:eastAsia="Arial" w:hAnsi="Arial" w:cs="Arial"/>
          <w:spacing w:val="-4"/>
        </w:rPr>
        <w:t>n</w:t>
      </w:r>
      <w:r w:rsidRPr="00F24FF8">
        <w:rPr>
          <w:rFonts w:ascii="Arial" w:eastAsia="Arial" w:hAnsi="Arial" w:cs="Arial"/>
          <w:spacing w:val="2"/>
        </w:rPr>
        <w:t>m</w:t>
      </w:r>
      <w:r w:rsidRPr="00F24FF8">
        <w:rPr>
          <w:rFonts w:ascii="Arial" w:eastAsia="Arial" w:hAnsi="Arial" w:cs="Arial"/>
        </w:rPr>
        <w:t>uebles de</w:t>
      </w:r>
      <w:r w:rsidRPr="00F24FF8">
        <w:rPr>
          <w:rFonts w:ascii="Arial" w:eastAsia="Arial" w:hAnsi="Arial" w:cs="Arial"/>
          <w:spacing w:val="2"/>
        </w:rPr>
        <w:t>st</w:t>
      </w:r>
      <w:r w:rsidRPr="00F24FF8">
        <w:rPr>
          <w:rFonts w:ascii="Arial" w:eastAsia="Arial" w:hAnsi="Arial" w:cs="Arial"/>
        </w:rPr>
        <w:t>inadospara</w:t>
      </w:r>
      <w:r w:rsidRPr="00F24FF8">
        <w:rPr>
          <w:rFonts w:ascii="Arial" w:eastAsia="Arial" w:hAnsi="Arial" w:cs="Arial"/>
          <w:spacing w:val="-2"/>
        </w:rPr>
        <w:t>C</w:t>
      </w:r>
      <w:r w:rsidRPr="00F24FF8">
        <w:rPr>
          <w:rFonts w:ascii="Arial" w:eastAsia="Arial" w:hAnsi="Arial" w:cs="Arial"/>
        </w:rPr>
        <w:t>a</w:t>
      </w:r>
      <w:r w:rsidRPr="00F24FF8">
        <w:rPr>
          <w:rFonts w:ascii="Arial" w:eastAsia="Arial" w:hAnsi="Arial" w:cs="Arial"/>
          <w:spacing w:val="2"/>
        </w:rPr>
        <w:t>s</w:t>
      </w:r>
      <w:r w:rsidRPr="00F24FF8">
        <w:rPr>
          <w:rFonts w:ascii="Arial" w:eastAsia="Arial" w:hAnsi="Arial" w:cs="Arial"/>
        </w:rPr>
        <w:t>as dehab</w:t>
      </w:r>
      <w:r w:rsidRPr="00F24FF8">
        <w:rPr>
          <w:rFonts w:ascii="Arial" w:eastAsia="Arial" w:hAnsi="Arial" w:cs="Arial"/>
          <w:spacing w:val="-4"/>
        </w:rPr>
        <w:t>i</w:t>
      </w:r>
      <w:r w:rsidRPr="00F24FF8">
        <w:rPr>
          <w:rFonts w:ascii="Arial" w:eastAsia="Arial" w:hAnsi="Arial" w:cs="Arial"/>
          <w:spacing w:val="2"/>
        </w:rPr>
        <w:t>t</w:t>
      </w:r>
      <w:r w:rsidRPr="00F24FF8">
        <w:rPr>
          <w:rFonts w:ascii="Arial" w:eastAsia="Arial" w:hAnsi="Arial" w:cs="Arial"/>
        </w:rPr>
        <w:t>a</w:t>
      </w:r>
      <w:r w:rsidRPr="00F24FF8">
        <w:rPr>
          <w:rFonts w:ascii="Arial" w:eastAsia="Arial" w:hAnsi="Arial" w:cs="Arial"/>
          <w:spacing w:val="2"/>
        </w:rPr>
        <w:t>c</w:t>
      </w:r>
      <w:r w:rsidRPr="00F24FF8">
        <w:rPr>
          <w:rFonts w:ascii="Arial" w:eastAsia="Arial" w:hAnsi="Arial" w:cs="Arial"/>
        </w:rPr>
        <w:t>iónuni</w:t>
      </w:r>
      <w:r w:rsidRPr="00F24FF8">
        <w:rPr>
          <w:rFonts w:ascii="Arial" w:eastAsia="Arial" w:hAnsi="Arial" w:cs="Arial"/>
          <w:spacing w:val="2"/>
        </w:rPr>
        <w:t>f</w:t>
      </w:r>
      <w:r w:rsidRPr="00F24FF8">
        <w:rPr>
          <w:rFonts w:ascii="Arial" w:eastAsia="Arial" w:hAnsi="Arial" w:cs="Arial"/>
          <w:spacing w:val="-4"/>
        </w:rPr>
        <w:t>a</w:t>
      </w:r>
      <w:r w:rsidRPr="00F24FF8">
        <w:rPr>
          <w:rFonts w:ascii="Arial" w:eastAsia="Arial" w:hAnsi="Arial" w:cs="Arial"/>
          <w:spacing w:val="2"/>
        </w:rPr>
        <w:t>m</w:t>
      </w:r>
      <w:r w:rsidRPr="00F24FF8">
        <w:rPr>
          <w:rFonts w:ascii="Arial" w:eastAsia="Arial" w:hAnsi="Arial" w:cs="Arial"/>
        </w:rPr>
        <w:t>iliar, zona rural: $0.15</w:t>
      </w:r>
    </w:p>
    <w:p w:rsidR="005B30A4" w:rsidRPr="00F24FF8" w:rsidRDefault="005B30A4" w:rsidP="005B30A4">
      <w:pPr>
        <w:spacing w:after="0" w:line="240" w:lineRule="auto"/>
        <w:ind w:right="91"/>
        <w:jc w:val="both"/>
        <w:rPr>
          <w:rFonts w:ascii="Arial" w:eastAsia="Arial" w:hAnsi="Arial" w:cs="Arial"/>
          <w:strike/>
        </w:rPr>
      </w:pPr>
    </w:p>
    <w:p w:rsidR="005B30A4" w:rsidRPr="00F24FF8" w:rsidRDefault="005B30A4" w:rsidP="005B30A4">
      <w:pPr>
        <w:spacing w:line="278" w:lineRule="auto"/>
        <w:ind w:right="-142"/>
        <w:jc w:val="both"/>
        <w:rPr>
          <w:rFonts w:ascii="Arial" w:eastAsia="Arial" w:hAnsi="Arial" w:cs="Arial"/>
        </w:rPr>
      </w:pPr>
      <w:r w:rsidRPr="00F24FF8">
        <w:rPr>
          <w:rFonts w:ascii="Arial" w:eastAsia="Arial" w:hAnsi="Arial" w:cs="Arial"/>
        </w:rPr>
        <w:t>04.- Sea con lámpara de mercurio, sodio, LED u otras tecnologías, en i</w:t>
      </w:r>
      <w:r w:rsidRPr="00F24FF8">
        <w:rPr>
          <w:rFonts w:ascii="Arial" w:eastAsia="Arial" w:hAnsi="Arial" w:cs="Arial"/>
          <w:spacing w:val="-4"/>
        </w:rPr>
        <w:t>n</w:t>
      </w:r>
      <w:r w:rsidRPr="00F24FF8">
        <w:rPr>
          <w:rFonts w:ascii="Arial" w:eastAsia="Arial" w:hAnsi="Arial" w:cs="Arial"/>
          <w:spacing w:val="2"/>
        </w:rPr>
        <w:t>m</w:t>
      </w:r>
      <w:r w:rsidRPr="00F24FF8">
        <w:rPr>
          <w:rFonts w:ascii="Arial" w:eastAsia="Arial" w:hAnsi="Arial" w:cs="Arial"/>
        </w:rPr>
        <w:t>uebles baldíos: $0.10</w:t>
      </w:r>
    </w:p>
    <w:p w:rsidR="005B30A4" w:rsidRPr="00F24FF8" w:rsidRDefault="005B30A4" w:rsidP="005B30A4">
      <w:pPr>
        <w:spacing w:after="0" w:line="240" w:lineRule="auto"/>
        <w:ind w:right="91"/>
        <w:jc w:val="both"/>
        <w:rPr>
          <w:rFonts w:ascii="Arial" w:eastAsia="Arial" w:hAnsi="Arial" w:cs="Arial"/>
          <w:strike/>
        </w:rPr>
      </w:pPr>
    </w:p>
    <w:p w:rsidR="005B30A4" w:rsidRPr="00F24FF8" w:rsidRDefault="005B30A4" w:rsidP="005B30A4">
      <w:pPr>
        <w:spacing w:line="278" w:lineRule="auto"/>
        <w:jc w:val="both"/>
        <w:rPr>
          <w:rFonts w:ascii="Arial" w:eastAsia="Arial" w:hAnsi="Arial" w:cs="Arial"/>
        </w:rPr>
      </w:pPr>
      <w:r w:rsidRPr="00F24FF8">
        <w:rPr>
          <w:rFonts w:ascii="Arial" w:eastAsia="Arial" w:hAnsi="Arial" w:cs="Arial"/>
          <w:b/>
          <w:bCs/>
        </w:rPr>
        <w:t>Sujeto pasivo:</w:t>
      </w:r>
      <w:r>
        <w:rPr>
          <w:rFonts w:ascii="Arial" w:eastAsia="Arial" w:hAnsi="Arial" w:cs="Arial"/>
          <w:b/>
          <w:bCs/>
        </w:rPr>
        <w:t xml:space="preserve"> </w:t>
      </w:r>
      <w:r w:rsidRPr="00F24FF8">
        <w:rPr>
          <w:rFonts w:ascii="Arial" w:eastAsia="Arial" w:hAnsi="Arial" w:cs="Arial"/>
        </w:rPr>
        <w:t>Todas las personas naturales o jurídicas que hagan uso del servicio de alumbrado público, ya sea permanentes o transitorios, sea propietario, poseedores o meros tenedores del inmueble.  Lo que incluye personas usuarias instaladas en las vías y áreas públicas municipales y/o del Estado.</w:t>
      </w:r>
    </w:p>
    <w:p w:rsidR="005B30A4" w:rsidRPr="00F24FF8" w:rsidRDefault="005B30A4" w:rsidP="005B30A4">
      <w:pPr>
        <w:spacing w:after="0" w:line="240" w:lineRule="auto"/>
        <w:ind w:left="102" w:right="816"/>
        <w:jc w:val="both"/>
        <w:rPr>
          <w:rFonts w:ascii="Arial" w:eastAsia="Arial" w:hAnsi="Arial" w:cs="Arial"/>
          <w:b/>
          <w:spacing w:val="-2"/>
        </w:rPr>
      </w:pPr>
    </w:p>
    <w:p w:rsidR="005B30A4" w:rsidRPr="00F24FF8" w:rsidRDefault="005B30A4" w:rsidP="005B30A4">
      <w:pPr>
        <w:spacing w:line="278" w:lineRule="auto"/>
        <w:ind w:left="101"/>
        <w:jc w:val="both"/>
        <w:rPr>
          <w:rFonts w:ascii="Arial" w:eastAsia="Arial" w:hAnsi="Arial" w:cs="Arial"/>
        </w:rPr>
      </w:pPr>
      <w:r w:rsidRPr="00F24FF8">
        <w:rPr>
          <w:rFonts w:ascii="Arial" w:eastAsia="Arial" w:hAnsi="Arial" w:cs="Arial"/>
          <w:b/>
          <w:spacing w:val="-2"/>
        </w:rPr>
        <w:t>No</w:t>
      </w:r>
      <w:r w:rsidRPr="00F24FF8">
        <w:rPr>
          <w:rFonts w:ascii="Arial" w:eastAsia="Arial" w:hAnsi="Arial" w:cs="Arial"/>
          <w:b/>
        </w:rPr>
        <w:t>.2</w:t>
      </w:r>
      <w:r w:rsidRPr="00F24FF8">
        <w:rPr>
          <w:rFonts w:ascii="Arial" w:eastAsia="Arial" w:hAnsi="Arial" w:cs="Arial"/>
          <w:b/>
          <w:spacing w:val="-6"/>
        </w:rPr>
        <w:t>A</w:t>
      </w:r>
      <w:r w:rsidRPr="00F24FF8">
        <w:rPr>
          <w:rFonts w:ascii="Arial" w:eastAsia="Arial" w:hAnsi="Arial" w:cs="Arial"/>
          <w:b/>
        </w:rPr>
        <w:t>SEOP</w:t>
      </w:r>
      <w:r w:rsidRPr="00F24FF8">
        <w:rPr>
          <w:rFonts w:ascii="Arial" w:eastAsia="Arial" w:hAnsi="Arial" w:cs="Arial"/>
          <w:b/>
          <w:spacing w:val="2"/>
        </w:rPr>
        <w:t>Ú</w:t>
      </w:r>
      <w:r w:rsidRPr="00F24FF8">
        <w:rPr>
          <w:rFonts w:ascii="Arial" w:eastAsia="Arial" w:hAnsi="Arial" w:cs="Arial"/>
          <w:b/>
          <w:spacing w:val="-2"/>
        </w:rPr>
        <w:t>B</w:t>
      </w:r>
      <w:r w:rsidRPr="00F24FF8">
        <w:rPr>
          <w:rFonts w:ascii="Arial" w:eastAsia="Arial" w:hAnsi="Arial" w:cs="Arial"/>
          <w:b/>
          <w:spacing w:val="2"/>
        </w:rPr>
        <w:t>L</w:t>
      </w:r>
      <w:r w:rsidRPr="00F24FF8">
        <w:rPr>
          <w:rFonts w:ascii="Arial" w:eastAsia="Arial" w:hAnsi="Arial" w:cs="Arial"/>
          <w:b/>
          <w:spacing w:val="-2"/>
        </w:rPr>
        <w:t>IC</w:t>
      </w:r>
      <w:r w:rsidRPr="00F24FF8">
        <w:rPr>
          <w:rFonts w:ascii="Arial" w:eastAsia="Arial" w:hAnsi="Arial" w:cs="Arial"/>
          <w:b/>
          <w:spacing w:val="2"/>
        </w:rPr>
        <w:t>O</w:t>
      </w:r>
      <w:r w:rsidRPr="00F24FF8">
        <w:rPr>
          <w:rFonts w:ascii="Arial" w:eastAsia="Arial" w:hAnsi="Arial" w:cs="Arial"/>
        </w:rPr>
        <w:t>,que incluye recolección, transporte y disposición final de desechos sólidos, por metro cuadrado del área superficial del Inmueble, según realidad física o Escritura pública, al mes:</w:t>
      </w:r>
    </w:p>
    <w:p w:rsidR="005B30A4" w:rsidRPr="00F24FF8" w:rsidRDefault="005B30A4" w:rsidP="005B30A4">
      <w:pPr>
        <w:spacing w:after="0" w:line="240" w:lineRule="auto"/>
        <w:jc w:val="both"/>
        <w:rPr>
          <w:rFonts w:ascii="Arial" w:hAnsi="Arial" w:cs="Arial"/>
        </w:rPr>
      </w:pPr>
    </w:p>
    <w:p w:rsidR="005B30A4" w:rsidRPr="00F24FF8" w:rsidRDefault="005B30A4" w:rsidP="005B30A4">
      <w:pPr>
        <w:pStyle w:val="Prrafodelista"/>
        <w:numPr>
          <w:ilvl w:val="0"/>
          <w:numId w:val="25"/>
        </w:numPr>
        <w:tabs>
          <w:tab w:val="left" w:pos="880"/>
        </w:tabs>
        <w:spacing w:after="0" w:line="278" w:lineRule="auto"/>
        <w:jc w:val="both"/>
        <w:rPr>
          <w:rFonts w:ascii="Arial" w:eastAsia="Arial" w:hAnsi="Arial" w:cs="Arial"/>
        </w:rPr>
      </w:pPr>
      <w:r w:rsidRPr="00F24FF8">
        <w:rPr>
          <w:rFonts w:ascii="Arial" w:eastAsia="Arial" w:hAnsi="Arial" w:cs="Arial"/>
          <w:lang w:val="es-SV"/>
        </w:rPr>
        <w:t>En i</w:t>
      </w:r>
      <w:r w:rsidRPr="00F24FF8">
        <w:rPr>
          <w:rFonts w:ascii="Arial" w:eastAsia="Arial" w:hAnsi="Arial" w:cs="Arial"/>
          <w:spacing w:val="-4"/>
          <w:lang w:val="es-SV"/>
        </w:rPr>
        <w:t>n</w:t>
      </w:r>
      <w:r w:rsidRPr="00F24FF8">
        <w:rPr>
          <w:rFonts w:ascii="Arial" w:eastAsia="Arial" w:hAnsi="Arial" w:cs="Arial"/>
          <w:spacing w:val="2"/>
          <w:lang w:val="es-SV"/>
        </w:rPr>
        <w:t>m</w:t>
      </w:r>
      <w:r w:rsidRPr="00F24FF8">
        <w:rPr>
          <w:rFonts w:ascii="Arial" w:eastAsia="Arial" w:hAnsi="Arial" w:cs="Arial"/>
          <w:lang w:val="es-SV"/>
        </w:rPr>
        <w:t>ueblesdestinados  para  Restaurantes, espacios asignados para comer-cialización de alimentos en el Muelle Municipal, Condominios, Complejo de apar-tamentos de playa o en estero, Ranchos y casas de playa o en estero, Inmuebles con fines Comerciales, Financieros, de Servicios, Recreacionales o turísticos, Centros comerciales, Instalaciones industriales, Fábricas transformadoras de materia prima y Supermercados, así como otros similares.$ 0.06</w:t>
      </w:r>
    </w:p>
    <w:p w:rsidR="005B30A4" w:rsidRPr="00F24FF8" w:rsidRDefault="005B30A4" w:rsidP="005B30A4">
      <w:pPr>
        <w:pStyle w:val="Prrafodelista"/>
        <w:tabs>
          <w:tab w:val="left" w:pos="880"/>
        </w:tabs>
        <w:spacing w:line="278" w:lineRule="auto"/>
        <w:ind w:left="820" w:right="94"/>
        <w:jc w:val="both"/>
        <w:rPr>
          <w:rFonts w:ascii="Arial" w:eastAsia="Arial" w:hAnsi="Arial" w:cs="Arial"/>
        </w:rPr>
      </w:pPr>
    </w:p>
    <w:p w:rsidR="005B30A4" w:rsidRPr="00F24FF8" w:rsidRDefault="005B30A4" w:rsidP="005B30A4">
      <w:pPr>
        <w:pStyle w:val="Prrafodelista"/>
        <w:numPr>
          <w:ilvl w:val="0"/>
          <w:numId w:val="25"/>
        </w:numPr>
        <w:tabs>
          <w:tab w:val="left" w:pos="426"/>
        </w:tabs>
        <w:spacing w:after="0" w:line="278" w:lineRule="auto"/>
        <w:jc w:val="both"/>
        <w:rPr>
          <w:rFonts w:ascii="Arial" w:eastAsia="Arial" w:hAnsi="Arial" w:cs="Arial"/>
          <w:lang w:val="es-SV"/>
        </w:rPr>
      </w:pPr>
      <w:r w:rsidRPr="00F24FF8">
        <w:rPr>
          <w:rFonts w:ascii="Arial" w:eastAsia="Arial" w:hAnsi="Arial" w:cs="Arial"/>
          <w:lang w:val="es-SV"/>
        </w:rPr>
        <w:t>En Inmuebles destinados para Hoteles, Hostales y similares: $0.07 por metro cuadrado del área superficial.</w:t>
      </w:r>
    </w:p>
    <w:p w:rsidR="005B30A4" w:rsidRPr="00F24FF8" w:rsidRDefault="005B30A4" w:rsidP="005B30A4">
      <w:pPr>
        <w:spacing w:before="1" w:line="200" w:lineRule="exact"/>
        <w:jc w:val="both"/>
        <w:rPr>
          <w:rFonts w:ascii="Arial" w:hAnsi="Arial" w:cs="Arial"/>
        </w:rPr>
      </w:pPr>
    </w:p>
    <w:p w:rsidR="005B30A4" w:rsidRPr="00F24FF8" w:rsidRDefault="005B30A4" w:rsidP="005B30A4">
      <w:pPr>
        <w:tabs>
          <w:tab w:val="left" w:pos="840"/>
        </w:tabs>
        <w:spacing w:line="278" w:lineRule="auto"/>
        <w:ind w:left="821" w:right="96" w:hanging="361"/>
        <w:jc w:val="both"/>
        <w:rPr>
          <w:rFonts w:ascii="Arial" w:eastAsia="Arial" w:hAnsi="Arial" w:cs="Arial"/>
        </w:rPr>
      </w:pPr>
      <w:r w:rsidRPr="00F24FF8">
        <w:rPr>
          <w:rFonts w:ascii="Arial" w:eastAsia="Arial" w:hAnsi="Arial" w:cs="Arial"/>
        </w:rPr>
        <w:t>c)</w:t>
      </w:r>
      <w:r w:rsidRPr="00F24FF8">
        <w:rPr>
          <w:rFonts w:ascii="Arial" w:eastAsia="Arial" w:hAnsi="Arial" w:cs="Arial"/>
        </w:rPr>
        <w:tab/>
      </w:r>
      <w:r w:rsidRPr="00F24FF8">
        <w:rPr>
          <w:rFonts w:ascii="Arial" w:eastAsia="Arial" w:hAnsi="Arial" w:cs="Arial"/>
        </w:rPr>
        <w:tab/>
        <w:t>Enin</w:t>
      </w:r>
      <w:r w:rsidRPr="00F24FF8">
        <w:rPr>
          <w:rFonts w:ascii="Arial" w:eastAsia="Arial" w:hAnsi="Arial" w:cs="Arial"/>
          <w:spacing w:val="2"/>
        </w:rPr>
        <w:t>m</w:t>
      </w:r>
      <w:r w:rsidRPr="00F24FF8">
        <w:rPr>
          <w:rFonts w:ascii="Arial" w:eastAsia="Arial" w:hAnsi="Arial" w:cs="Arial"/>
        </w:rPr>
        <w:t>uebl</w:t>
      </w:r>
      <w:r w:rsidRPr="00F24FF8">
        <w:rPr>
          <w:rFonts w:ascii="Arial" w:eastAsia="Arial" w:hAnsi="Arial" w:cs="Arial"/>
          <w:spacing w:val="-4"/>
        </w:rPr>
        <w:t>e</w:t>
      </w:r>
      <w:r w:rsidRPr="00F24FF8">
        <w:rPr>
          <w:rFonts w:ascii="Arial" w:eastAsia="Arial" w:hAnsi="Arial" w:cs="Arial"/>
        </w:rPr>
        <w:t>sdeIn</w:t>
      </w:r>
      <w:r w:rsidRPr="00F24FF8">
        <w:rPr>
          <w:rFonts w:ascii="Arial" w:eastAsia="Arial" w:hAnsi="Arial" w:cs="Arial"/>
          <w:spacing w:val="2"/>
        </w:rPr>
        <w:t>st</w:t>
      </w:r>
      <w:r w:rsidRPr="00F24FF8">
        <w:rPr>
          <w:rFonts w:ascii="Arial" w:eastAsia="Arial" w:hAnsi="Arial" w:cs="Arial"/>
        </w:rPr>
        <w:t>i</w:t>
      </w:r>
      <w:r w:rsidRPr="00F24FF8">
        <w:rPr>
          <w:rFonts w:ascii="Arial" w:eastAsia="Arial" w:hAnsi="Arial" w:cs="Arial"/>
          <w:spacing w:val="2"/>
        </w:rPr>
        <w:t>t</w:t>
      </w:r>
      <w:r w:rsidRPr="00F24FF8">
        <w:rPr>
          <w:rFonts w:ascii="Arial" w:eastAsia="Arial" w:hAnsi="Arial" w:cs="Arial"/>
          <w:spacing w:val="-4"/>
        </w:rPr>
        <w:t>u</w:t>
      </w:r>
      <w:r w:rsidRPr="00F24FF8">
        <w:rPr>
          <w:rFonts w:ascii="Arial" w:eastAsia="Arial" w:hAnsi="Arial" w:cs="Arial"/>
          <w:spacing w:val="2"/>
        </w:rPr>
        <w:t>c</w:t>
      </w:r>
      <w:r w:rsidRPr="00F24FF8">
        <w:rPr>
          <w:rFonts w:ascii="Arial" w:eastAsia="Arial" w:hAnsi="Arial" w:cs="Arial"/>
        </w:rPr>
        <w:t>iones</w:t>
      </w:r>
      <w:r w:rsidRPr="00F24FF8">
        <w:rPr>
          <w:rFonts w:ascii="Arial" w:eastAsia="Arial" w:hAnsi="Arial" w:cs="Arial"/>
          <w:spacing w:val="3"/>
        </w:rPr>
        <w:t>d</w:t>
      </w:r>
      <w:r w:rsidRPr="00F24FF8">
        <w:rPr>
          <w:rFonts w:ascii="Arial" w:eastAsia="Arial" w:hAnsi="Arial" w:cs="Arial"/>
        </w:rPr>
        <w:t>elE</w:t>
      </w:r>
      <w:r w:rsidRPr="00F24FF8">
        <w:rPr>
          <w:rFonts w:ascii="Arial" w:eastAsia="Arial" w:hAnsi="Arial" w:cs="Arial"/>
          <w:spacing w:val="-2"/>
        </w:rPr>
        <w:t>s</w:t>
      </w:r>
      <w:r w:rsidRPr="00F24FF8">
        <w:rPr>
          <w:rFonts w:ascii="Arial" w:eastAsia="Arial" w:hAnsi="Arial" w:cs="Arial"/>
          <w:spacing w:val="2"/>
        </w:rPr>
        <w:t>t</w:t>
      </w:r>
      <w:r w:rsidRPr="00F24FF8">
        <w:rPr>
          <w:rFonts w:ascii="Arial" w:eastAsia="Arial" w:hAnsi="Arial" w:cs="Arial"/>
        </w:rPr>
        <w:t>ado,I</w:t>
      </w:r>
      <w:r w:rsidRPr="00F24FF8">
        <w:rPr>
          <w:rFonts w:ascii="Arial" w:eastAsia="Arial" w:hAnsi="Arial" w:cs="Arial"/>
          <w:spacing w:val="-4"/>
        </w:rPr>
        <w:t>n</w:t>
      </w:r>
      <w:r w:rsidRPr="00F24FF8">
        <w:rPr>
          <w:rFonts w:ascii="Arial" w:eastAsia="Arial" w:hAnsi="Arial" w:cs="Arial"/>
          <w:spacing w:val="2"/>
        </w:rPr>
        <w:t>st</w:t>
      </w:r>
      <w:r w:rsidRPr="00F24FF8">
        <w:rPr>
          <w:rFonts w:ascii="Arial" w:eastAsia="Arial" w:hAnsi="Arial" w:cs="Arial"/>
        </w:rPr>
        <w:t>i</w:t>
      </w:r>
      <w:r w:rsidRPr="00F24FF8">
        <w:rPr>
          <w:rFonts w:ascii="Arial" w:eastAsia="Arial" w:hAnsi="Arial" w:cs="Arial"/>
          <w:spacing w:val="2"/>
        </w:rPr>
        <w:t>t</w:t>
      </w:r>
      <w:r w:rsidRPr="00F24FF8">
        <w:rPr>
          <w:rFonts w:ascii="Arial" w:eastAsia="Arial" w:hAnsi="Arial" w:cs="Arial"/>
          <w:spacing w:val="-4"/>
        </w:rPr>
        <w:t>u</w:t>
      </w:r>
      <w:r w:rsidRPr="00F24FF8">
        <w:rPr>
          <w:rFonts w:ascii="Arial" w:eastAsia="Arial" w:hAnsi="Arial" w:cs="Arial"/>
          <w:spacing w:val="2"/>
        </w:rPr>
        <w:t>c</w:t>
      </w:r>
      <w:r w:rsidRPr="00F24FF8">
        <w:rPr>
          <w:rFonts w:ascii="Arial" w:eastAsia="Arial" w:hAnsi="Arial" w:cs="Arial"/>
        </w:rPr>
        <w:t>ionesAu</w:t>
      </w:r>
      <w:r w:rsidRPr="00F24FF8">
        <w:rPr>
          <w:rFonts w:ascii="Arial" w:eastAsia="Arial" w:hAnsi="Arial" w:cs="Arial"/>
          <w:spacing w:val="2"/>
        </w:rPr>
        <w:t>t</w:t>
      </w:r>
      <w:r w:rsidRPr="00F24FF8">
        <w:rPr>
          <w:rFonts w:ascii="Arial" w:eastAsia="Arial" w:hAnsi="Arial" w:cs="Arial"/>
        </w:rPr>
        <w:t>ón</w:t>
      </w:r>
      <w:r w:rsidRPr="00F24FF8">
        <w:rPr>
          <w:rFonts w:ascii="Arial" w:eastAsia="Arial" w:hAnsi="Arial" w:cs="Arial"/>
          <w:spacing w:val="-4"/>
        </w:rPr>
        <w:t>o</w:t>
      </w:r>
      <w:r w:rsidRPr="00F24FF8">
        <w:rPr>
          <w:rFonts w:ascii="Arial" w:eastAsia="Arial" w:hAnsi="Arial" w:cs="Arial"/>
          <w:spacing w:val="2"/>
        </w:rPr>
        <w:t>m</w:t>
      </w:r>
      <w:r w:rsidRPr="00F24FF8">
        <w:rPr>
          <w:rFonts w:ascii="Arial" w:eastAsia="Arial" w:hAnsi="Arial" w:cs="Arial"/>
        </w:rPr>
        <w:t>asyo</w:t>
      </w:r>
      <w:r w:rsidRPr="00F24FF8">
        <w:rPr>
          <w:rFonts w:ascii="Arial" w:eastAsia="Arial" w:hAnsi="Arial" w:cs="Arial"/>
          <w:spacing w:val="2"/>
        </w:rPr>
        <w:t>t</w:t>
      </w:r>
      <w:r w:rsidRPr="00F24FF8">
        <w:rPr>
          <w:rFonts w:ascii="Arial" w:eastAsia="Arial" w:hAnsi="Arial" w:cs="Arial"/>
        </w:rPr>
        <w:t>rasIn</w:t>
      </w:r>
      <w:r w:rsidRPr="00F24FF8">
        <w:rPr>
          <w:rFonts w:ascii="Arial" w:eastAsia="Arial" w:hAnsi="Arial" w:cs="Arial"/>
          <w:spacing w:val="2"/>
        </w:rPr>
        <w:t>st</w:t>
      </w:r>
      <w:r w:rsidRPr="00F24FF8">
        <w:rPr>
          <w:rFonts w:ascii="Arial" w:eastAsia="Arial" w:hAnsi="Arial" w:cs="Arial"/>
        </w:rPr>
        <w:t>i</w:t>
      </w:r>
      <w:r w:rsidRPr="00F24FF8">
        <w:rPr>
          <w:rFonts w:ascii="Arial" w:eastAsia="Arial" w:hAnsi="Arial" w:cs="Arial"/>
          <w:spacing w:val="2"/>
        </w:rPr>
        <w:t>t</w:t>
      </w:r>
      <w:r w:rsidRPr="00F24FF8">
        <w:rPr>
          <w:rFonts w:ascii="Arial" w:eastAsia="Arial" w:hAnsi="Arial" w:cs="Arial"/>
          <w:spacing w:val="-4"/>
        </w:rPr>
        <w:t>u</w:t>
      </w:r>
      <w:r w:rsidRPr="00F24FF8">
        <w:rPr>
          <w:rFonts w:ascii="Arial" w:eastAsia="Arial" w:hAnsi="Arial" w:cs="Arial"/>
          <w:spacing w:val="2"/>
        </w:rPr>
        <w:t>c</w:t>
      </w:r>
      <w:r w:rsidRPr="00F24FF8">
        <w:rPr>
          <w:rFonts w:ascii="Arial" w:eastAsia="Arial" w:hAnsi="Arial" w:cs="Arial"/>
        </w:rPr>
        <w:t>iones similares:$0.04</w:t>
      </w:r>
    </w:p>
    <w:p w:rsidR="005B30A4" w:rsidRPr="00F24FF8" w:rsidRDefault="005B30A4" w:rsidP="005B30A4">
      <w:pPr>
        <w:spacing w:after="0" w:line="240" w:lineRule="auto"/>
        <w:jc w:val="both"/>
        <w:rPr>
          <w:rFonts w:ascii="Arial" w:hAnsi="Arial" w:cs="Arial"/>
        </w:rPr>
      </w:pPr>
    </w:p>
    <w:p w:rsidR="005B30A4" w:rsidRPr="00F24FF8" w:rsidRDefault="005B30A4" w:rsidP="005B30A4">
      <w:pPr>
        <w:tabs>
          <w:tab w:val="left" w:pos="7797"/>
        </w:tabs>
        <w:spacing w:before="7"/>
        <w:ind w:left="460"/>
        <w:jc w:val="both"/>
        <w:rPr>
          <w:rFonts w:ascii="Arial" w:eastAsia="Arial" w:hAnsi="Arial" w:cs="Arial"/>
        </w:rPr>
      </w:pPr>
      <w:r w:rsidRPr="00F24FF8">
        <w:rPr>
          <w:rFonts w:ascii="Arial" w:eastAsia="Arial" w:hAnsi="Arial" w:cs="Arial"/>
        </w:rPr>
        <w:t xml:space="preserve">d)  </w:t>
      </w:r>
      <w:r w:rsidRPr="00F24FF8">
        <w:rPr>
          <w:rFonts w:ascii="Arial" w:eastAsia="Arial" w:hAnsi="Arial" w:cs="Arial"/>
          <w:spacing w:val="-2"/>
        </w:rPr>
        <w:t>C</w:t>
      </w:r>
      <w:r w:rsidRPr="00F24FF8">
        <w:rPr>
          <w:rFonts w:ascii="Arial" w:eastAsia="Arial" w:hAnsi="Arial" w:cs="Arial"/>
        </w:rPr>
        <w:t>a</w:t>
      </w:r>
      <w:r w:rsidRPr="00F24FF8">
        <w:rPr>
          <w:rFonts w:ascii="Arial" w:eastAsia="Arial" w:hAnsi="Arial" w:cs="Arial"/>
          <w:spacing w:val="2"/>
        </w:rPr>
        <w:t>s</w:t>
      </w:r>
      <w:r w:rsidRPr="00F24FF8">
        <w:rPr>
          <w:rFonts w:ascii="Arial" w:eastAsia="Arial" w:hAnsi="Arial" w:cs="Arial"/>
        </w:rPr>
        <w:t>as dehab</w:t>
      </w:r>
      <w:r w:rsidRPr="00F24FF8">
        <w:rPr>
          <w:rFonts w:ascii="Arial" w:eastAsia="Arial" w:hAnsi="Arial" w:cs="Arial"/>
          <w:spacing w:val="-4"/>
        </w:rPr>
        <w:t>i</w:t>
      </w:r>
      <w:r w:rsidRPr="00F24FF8">
        <w:rPr>
          <w:rFonts w:ascii="Arial" w:eastAsia="Arial" w:hAnsi="Arial" w:cs="Arial"/>
          <w:spacing w:val="2"/>
        </w:rPr>
        <w:t>t</w:t>
      </w:r>
      <w:r w:rsidRPr="00F24FF8">
        <w:rPr>
          <w:rFonts w:ascii="Arial" w:eastAsia="Arial" w:hAnsi="Arial" w:cs="Arial"/>
        </w:rPr>
        <w:t>a</w:t>
      </w:r>
      <w:r w:rsidRPr="00F24FF8">
        <w:rPr>
          <w:rFonts w:ascii="Arial" w:eastAsia="Arial" w:hAnsi="Arial" w:cs="Arial"/>
          <w:spacing w:val="2"/>
        </w:rPr>
        <w:t>c</w:t>
      </w:r>
      <w:r w:rsidRPr="00F24FF8">
        <w:rPr>
          <w:rFonts w:ascii="Arial" w:eastAsia="Arial" w:hAnsi="Arial" w:cs="Arial"/>
        </w:rPr>
        <w:t>iónuni</w:t>
      </w:r>
      <w:r w:rsidRPr="00F24FF8">
        <w:rPr>
          <w:rFonts w:ascii="Arial" w:eastAsia="Arial" w:hAnsi="Arial" w:cs="Arial"/>
          <w:spacing w:val="2"/>
        </w:rPr>
        <w:t>f</w:t>
      </w:r>
      <w:r w:rsidRPr="00F24FF8">
        <w:rPr>
          <w:rFonts w:ascii="Arial" w:eastAsia="Arial" w:hAnsi="Arial" w:cs="Arial"/>
          <w:spacing w:val="-4"/>
        </w:rPr>
        <w:t>a</w:t>
      </w:r>
      <w:r w:rsidRPr="00F24FF8">
        <w:rPr>
          <w:rFonts w:ascii="Arial" w:eastAsia="Arial" w:hAnsi="Arial" w:cs="Arial"/>
          <w:spacing w:val="2"/>
        </w:rPr>
        <w:t>m</w:t>
      </w:r>
      <w:r w:rsidRPr="00F24FF8">
        <w:rPr>
          <w:rFonts w:ascii="Arial" w:eastAsia="Arial" w:hAnsi="Arial" w:cs="Arial"/>
        </w:rPr>
        <w:t xml:space="preserve">iliar, </w:t>
      </w:r>
      <w:r w:rsidRPr="00F24FF8">
        <w:rPr>
          <w:rFonts w:ascii="Arial" w:eastAsia="Arial" w:hAnsi="Arial" w:cs="Arial"/>
          <w:spacing w:val="-2"/>
        </w:rPr>
        <w:t>z</w:t>
      </w:r>
      <w:r w:rsidRPr="00F24FF8">
        <w:rPr>
          <w:rFonts w:ascii="Arial" w:eastAsia="Arial" w:hAnsi="Arial" w:cs="Arial"/>
        </w:rPr>
        <w:t>onaurbanayrural, de acuerdo a la siguiente clasificación:</w:t>
      </w:r>
    </w:p>
    <w:tbl>
      <w:tblPr>
        <w:tblStyle w:val="Tablaconcuadrcula"/>
        <w:tblW w:w="9240"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40"/>
      </w:tblGrid>
      <w:tr w:rsidR="005B30A4" w:rsidRPr="00F24FF8" w:rsidTr="006B4D3E">
        <w:trPr>
          <w:trHeight w:val="492"/>
        </w:trPr>
        <w:tc>
          <w:tcPr>
            <w:tcW w:w="9240" w:type="dxa"/>
          </w:tcPr>
          <w:p w:rsidR="005B30A4" w:rsidRPr="00F24FF8" w:rsidRDefault="005B30A4" w:rsidP="006B4D3E">
            <w:pPr>
              <w:ind w:right="764"/>
              <w:jc w:val="both"/>
              <w:rPr>
                <w:rFonts w:ascii="Arial" w:hAnsi="Arial" w:cs="Arial"/>
              </w:rPr>
            </w:pPr>
            <w:r w:rsidRPr="00F24FF8">
              <w:rPr>
                <w:rFonts w:ascii="Arial" w:hAnsi="Arial" w:cs="Arial"/>
              </w:rPr>
              <w:t>“Zona Urbana” Vivienda construcción Sistema mixto: $0.01</w:t>
            </w:r>
          </w:p>
        </w:tc>
      </w:tr>
      <w:tr w:rsidR="005B30A4" w:rsidRPr="00F24FF8" w:rsidTr="006B4D3E">
        <w:trPr>
          <w:trHeight w:val="731"/>
        </w:trPr>
        <w:tc>
          <w:tcPr>
            <w:tcW w:w="9240" w:type="dxa"/>
          </w:tcPr>
          <w:p w:rsidR="005B30A4" w:rsidRPr="00F24FF8" w:rsidRDefault="005B30A4" w:rsidP="006B4D3E">
            <w:pPr>
              <w:ind w:right="764"/>
              <w:jc w:val="both"/>
              <w:rPr>
                <w:rFonts w:ascii="Arial" w:hAnsi="Arial" w:cs="Arial"/>
              </w:rPr>
            </w:pPr>
            <w:r w:rsidRPr="00F24FF8">
              <w:rPr>
                <w:rFonts w:ascii="Arial" w:hAnsi="Arial" w:cs="Arial"/>
              </w:rPr>
              <w:t>“Zona Urbana” Vivienda construcción Sistema rustico (madera, lamina, adobe, bamboo, palma, similares): $0.005</w:t>
            </w:r>
          </w:p>
        </w:tc>
      </w:tr>
      <w:tr w:rsidR="005B30A4" w:rsidRPr="00F24FF8" w:rsidTr="006B4D3E">
        <w:trPr>
          <w:trHeight w:val="431"/>
        </w:trPr>
        <w:tc>
          <w:tcPr>
            <w:tcW w:w="9240" w:type="dxa"/>
          </w:tcPr>
          <w:p w:rsidR="005B30A4" w:rsidRPr="00F24FF8" w:rsidRDefault="005B30A4" w:rsidP="006B4D3E">
            <w:pPr>
              <w:tabs>
                <w:tab w:val="left" w:pos="3077"/>
              </w:tabs>
              <w:ind w:right="764"/>
              <w:jc w:val="both"/>
              <w:rPr>
                <w:rFonts w:ascii="Arial" w:hAnsi="Arial" w:cs="Arial"/>
              </w:rPr>
            </w:pPr>
            <w:r w:rsidRPr="00F24FF8">
              <w:rPr>
                <w:rFonts w:ascii="Arial" w:hAnsi="Arial" w:cs="Arial"/>
              </w:rPr>
              <w:lastRenderedPageBreak/>
              <w:t xml:space="preserve"> “Zona Rural” Vivienda construcción Sistema mixto: $0.01</w:t>
            </w:r>
          </w:p>
          <w:p w:rsidR="005B30A4" w:rsidRPr="00F24FF8" w:rsidRDefault="005B30A4" w:rsidP="006B4D3E">
            <w:pPr>
              <w:tabs>
                <w:tab w:val="left" w:pos="3077"/>
              </w:tabs>
              <w:ind w:right="764"/>
              <w:jc w:val="both"/>
              <w:rPr>
                <w:rFonts w:ascii="Arial" w:hAnsi="Arial" w:cs="Arial"/>
              </w:rPr>
            </w:pPr>
          </w:p>
        </w:tc>
      </w:tr>
      <w:tr w:rsidR="005B30A4" w:rsidRPr="00F24FF8" w:rsidTr="006B4D3E">
        <w:trPr>
          <w:trHeight w:val="431"/>
        </w:trPr>
        <w:tc>
          <w:tcPr>
            <w:tcW w:w="9240" w:type="dxa"/>
          </w:tcPr>
          <w:p w:rsidR="005B30A4" w:rsidRPr="00F24FF8" w:rsidRDefault="005B30A4" w:rsidP="006B4D3E">
            <w:pPr>
              <w:tabs>
                <w:tab w:val="left" w:pos="3077"/>
              </w:tabs>
              <w:ind w:right="764"/>
              <w:jc w:val="both"/>
              <w:rPr>
                <w:rFonts w:ascii="Arial" w:hAnsi="Arial" w:cs="Arial"/>
              </w:rPr>
            </w:pPr>
            <w:r w:rsidRPr="00F24FF8">
              <w:rPr>
                <w:rFonts w:ascii="Arial" w:hAnsi="Arial" w:cs="Arial"/>
              </w:rPr>
              <w:t>“Zona Rural” Vivienda construcción Sistema rustico (madera, lamina, adobe, bamboo, palma, similares): $0.005</w:t>
            </w:r>
          </w:p>
        </w:tc>
      </w:tr>
    </w:tbl>
    <w:p w:rsidR="005B30A4" w:rsidRPr="00F24FF8" w:rsidRDefault="005B30A4" w:rsidP="005B30A4">
      <w:pPr>
        <w:spacing w:before="7"/>
        <w:ind w:left="460"/>
        <w:jc w:val="both"/>
        <w:rPr>
          <w:rFonts w:ascii="Arial" w:eastAsia="Arial" w:hAnsi="Arial" w:cs="Arial"/>
        </w:rPr>
      </w:pPr>
    </w:p>
    <w:p w:rsidR="005B30A4" w:rsidRPr="00F24FF8" w:rsidRDefault="005B30A4" w:rsidP="005B30A4">
      <w:pPr>
        <w:spacing w:after="0" w:line="240" w:lineRule="auto"/>
        <w:ind w:left="460"/>
        <w:jc w:val="both"/>
        <w:rPr>
          <w:rFonts w:ascii="Arial" w:eastAsia="Arial" w:hAnsi="Arial" w:cs="Arial"/>
        </w:rPr>
      </w:pPr>
      <w:r w:rsidRPr="00F24FF8">
        <w:rPr>
          <w:rFonts w:ascii="Arial" w:eastAsia="Arial" w:hAnsi="Arial" w:cs="Arial"/>
        </w:rPr>
        <w:t>e)   Predios bald</w:t>
      </w:r>
      <w:r w:rsidRPr="00F24FF8">
        <w:rPr>
          <w:rFonts w:ascii="Arial" w:eastAsia="Arial" w:hAnsi="Arial" w:cs="Arial"/>
          <w:spacing w:val="2"/>
        </w:rPr>
        <w:t>í</w:t>
      </w:r>
      <w:r w:rsidRPr="00F24FF8">
        <w:rPr>
          <w:rFonts w:ascii="Arial" w:eastAsia="Arial" w:hAnsi="Arial" w:cs="Arial"/>
          <w:spacing w:val="-4"/>
        </w:rPr>
        <w:t>o</w:t>
      </w:r>
      <w:r w:rsidRPr="00F24FF8">
        <w:rPr>
          <w:rFonts w:ascii="Arial" w:eastAsia="Arial" w:hAnsi="Arial" w:cs="Arial"/>
          <w:spacing w:val="2"/>
        </w:rPr>
        <w:t>s</w:t>
      </w:r>
      <w:r w:rsidRPr="00F24FF8">
        <w:rPr>
          <w:rFonts w:ascii="Arial" w:eastAsia="Arial" w:hAnsi="Arial" w:cs="Arial"/>
        </w:rPr>
        <w:t>, aunque</w:t>
      </w:r>
      <w:r w:rsidRPr="00F24FF8">
        <w:rPr>
          <w:rFonts w:ascii="Arial" w:eastAsia="Arial" w:hAnsi="Arial" w:cs="Arial"/>
          <w:spacing w:val="-4"/>
        </w:rPr>
        <w:t>e</w:t>
      </w:r>
      <w:r w:rsidRPr="00F24FF8">
        <w:rPr>
          <w:rFonts w:ascii="Arial" w:eastAsia="Arial" w:hAnsi="Arial" w:cs="Arial"/>
          <w:spacing w:val="2"/>
        </w:rPr>
        <w:t>st</w:t>
      </w:r>
      <w:r w:rsidRPr="00F24FF8">
        <w:rPr>
          <w:rFonts w:ascii="Arial" w:eastAsia="Arial" w:hAnsi="Arial" w:cs="Arial"/>
          <w:spacing w:val="-4"/>
        </w:rPr>
        <w:t>u</w:t>
      </w:r>
      <w:r w:rsidRPr="00F24FF8">
        <w:rPr>
          <w:rFonts w:ascii="Arial" w:eastAsia="Arial" w:hAnsi="Arial" w:cs="Arial"/>
          <w:spacing w:val="2"/>
        </w:rPr>
        <w:t>v</w:t>
      </w:r>
      <w:r w:rsidRPr="00F24FF8">
        <w:rPr>
          <w:rFonts w:ascii="Arial" w:eastAsia="Arial" w:hAnsi="Arial" w:cs="Arial"/>
        </w:rPr>
        <w:t>ieren</w:t>
      </w:r>
      <w:r w:rsidRPr="00F24FF8">
        <w:rPr>
          <w:rFonts w:ascii="Arial" w:eastAsia="Arial" w:hAnsi="Arial" w:cs="Arial"/>
          <w:spacing w:val="2"/>
        </w:rPr>
        <w:t xml:space="preserve"> c</w:t>
      </w:r>
      <w:r w:rsidRPr="00F24FF8">
        <w:rPr>
          <w:rFonts w:ascii="Arial" w:eastAsia="Arial" w:hAnsi="Arial" w:cs="Arial"/>
        </w:rPr>
        <w:t>on</w:t>
      </w:r>
      <w:r w:rsidRPr="00F24FF8">
        <w:rPr>
          <w:rFonts w:ascii="Arial" w:eastAsia="Arial" w:hAnsi="Arial" w:cs="Arial"/>
          <w:spacing w:val="2"/>
        </w:rPr>
        <w:t>c</w:t>
      </w:r>
      <w:r w:rsidRPr="00F24FF8">
        <w:rPr>
          <w:rFonts w:ascii="Arial" w:eastAsia="Arial" w:hAnsi="Arial" w:cs="Arial"/>
        </w:rPr>
        <w:t>e</w:t>
      </w:r>
      <w:r w:rsidRPr="00F24FF8">
        <w:rPr>
          <w:rFonts w:ascii="Arial" w:eastAsia="Arial" w:hAnsi="Arial" w:cs="Arial"/>
          <w:spacing w:val="-4"/>
        </w:rPr>
        <w:t>r</w:t>
      </w:r>
      <w:r w:rsidRPr="00F24FF8">
        <w:rPr>
          <w:rFonts w:ascii="Arial" w:eastAsia="Arial" w:hAnsi="Arial" w:cs="Arial"/>
          <w:spacing w:val="2"/>
        </w:rPr>
        <w:t>c</w:t>
      </w:r>
      <w:r w:rsidRPr="00F24FF8">
        <w:rPr>
          <w:rFonts w:ascii="Arial" w:eastAsia="Arial" w:hAnsi="Arial" w:cs="Arial"/>
          <w:spacing w:val="-4"/>
        </w:rPr>
        <w:t>a</w:t>
      </w:r>
      <w:r w:rsidRPr="00F24FF8">
        <w:rPr>
          <w:rFonts w:ascii="Arial" w:eastAsia="Arial" w:hAnsi="Arial" w:cs="Arial"/>
        </w:rPr>
        <w:t>sdeal</w:t>
      </w:r>
      <w:r w:rsidRPr="00F24FF8">
        <w:rPr>
          <w:rFonts w:ascii="Arial" w:eastAsia="Arial" w:hAnsi="Arial" w:cs="Arial"/>
          <w:spacing w:val="-4"/>
        </w:rPr>
        <w:t>a</w:t>
      </w:r>
      <w:r w:rsidRPr="00F24FF8">
        <w:rPr>
          <w:rFonts w:ascii="Arial" w:eastAsia="Arial" w:hAnsi="Arial" w:cs="Arial"/>
          <w:spacing w:val="2"/>
        </w:rPr>
        <w:t>m</w:t>
      </w:r>
      <w:r w:rsidRPr="00F24FF8">
        <w:rPr>
          <w:rFonts w:ascii="Arial" w:eastAsia="Arial" w:hAnsi="Arial" w:cs="Arial"/>
        </w:rPr>
        <w:t>breo Malla:$</w:t>
      </w:r>
      <w:r w:rsidRPr="00F24FF8">
        <w:rPr>
          <w:rFonts w:ascii="Arial" w:eastAsia="Arial" w:hAnsi="Arial" w:cs="Arial"/>
          <w:spacing w:val="-4"/>
        </w:rPr>
        <w:t>0</w:t>
      </w:r>
      <w:r w:rsidRPr="00F24FF8">
        <w:rPr>
          <w:rFonts w:ascii="Arial" w:eastAsia="Arial" w:hAnsi="Arial" w:cs="Arial"/>
          <w:spacing w:val="2"/>
        </w:rPr>
        <w:t>.</w:t>
      </w:r>
      <w:r w:rsidRPr="00F24FF8">
        <w:rPr>
          <w:rFonts w:ascii="Arial" w:eastAsia="Arial" w:hAnsi="Arial" w:cs="Arial"/>
        </w:rPr>
        <w:t>004</w:t>
      </w:r>
    </w:p>
    <w:p w:rsidR="005B30A4" w:rsidRPr="00F24FF8" w:rsidRDefault="005B30A4" w:rsidP="005B30A4">
      <w:pPr>
        <w:spacing w:after="0" w:line="240" w:lineRule="auto"/>
        <w:ind w:right="1610"/>
        <w:jc w:val="both"/>
        <w:rPr>
          <w:rFonts w:ascii="Arial" w:eastAsia="Arial" w:hAnsi="Arial" w:cs="Arial"/>
          <w:spacing w:val="2"/>
        </w:rPr>
      </w:pPr>
    </w:p>
    <w:p w:rsidR="005B30A4" w:rsidRPr="00F24FF8" w:rsidRDefault="005B30A4" w:rsidP="005B30A4">
      <w:pPr>
        <w:spacing w:line="510" w:lineRule="auto"/>
        <w:ind w:left="460" w:right="2231"/>
        <w:jc w:val="both"/>
        <w:rPr>
          <w:rFonts w:ascii="Arial" w:eastAsia="Arial" w:hAnsi="Arial" w:cs="Arial"/>
        </w:rPr>
      </w:pPr>
      <w:r w:rsidRPr="00F24FF8">
        <w:rPr>
          <w:rFonts w:ascii="Arial" w:eastAsia="Arial" w:hAnsi="Arial" w:cs="Arial"/>
        </w:rPr>
        <w:t xml:space="preserve">f)   </w:t>
      </w:r>
      <w:r w:rsidRPr="00F24FF8">
        <w:rPr>
          <w:rFonts w:ascii="Arial" w:eastAsia="Arial" w:hAnsi="Arial" w:cs="Arial"/>
          <w:spacing w:val="-2"/>
        </w:rPr>
        <w:t>I</w:t>
      </w:r>
      <w:r w:rsidRPr="00F24FF8">
        <w:rPr>
          <w:rFonts w:ascii="Arial" w:eastAsia="Arial" w:hAnsi="Arial" w:cs="Arial"/>
        </w:rPr>
        <w:t>n</w:t>
      </w:r>
      <w:r w:rsidRPr="00F24FF8">
        <w:rPr>
          <w:rFonts w:ascii="Arial" w:eastAsia="Arial" w:hAnsi="Arial" w:cs="Arial"/>
          <w:spacing w:val="2"/>
        </w:rPr>
        <w:t>st</w:t>
      </w:r>
      <w:r w:rsidRPr="00F24FF8">
        <w:rPr>
          <w:rFonts w:ascii="Arial" w:eastAsia="Arial" w:hAnsi="Arial" w:cs="Arial"/>
          <w:spacing w:val="-4"/>
        </w:rPr>
        <w:t>i</w:t>
      </w:r>
      <w:r w:rsidRPr="00F24FF8">
        <w:rPr>
          <w:rFonts w:ascii="Arial" w:eastAsia="Arial" w:hAnsi="Arial" w:cs="Arial"/>
          <w:spacing w:val="2"/>
        </w:rPr>
        <w:t>t</w:t>
      </w:r>
      <w:r w:rsidRPr="00F24FF8">
        <w:rPr>
          <w:rFonts w:ascii="Arial" w:eastAsia="Arial" w:hAnsi="Arial" w:cs="Arial"/>
        </w:rPr>
        <w:t>u</w:t>
      </w:r>
      <w:r w:rsidRPr="00F24FF8">
        <w:rPr>
          <w:rFonts w:ascii="Arial" w:eastAsia="Arial" w:hAnsi="Arial" w:cs="Arial"/>
          <w:spacing w:val="2"/>
        </w:rPr>
        <w:t>c</w:t>
      </w:r>
      <w:r w:rsidRPr="00F24FF8">
        <w:rPr>
          <w:rFonts w:ascii="Arial" w:eastAsia="Arial" w:hAnsi="Arial" w:cs="Arial"/>
        </w:rPr>
        <w:t>ion</w:t>
      </w:r>
      <w:r w:rsidRPr="00F24FF8">
        <w:rPr>
          <w:rFonts w:ascii="Arial" w:eastAsia="Arial" w:hAnsi="Arial" w:cs="Arial"/>
          <w:spacing w:val="-4"/>
        </w:rPr>
        <w:t>e</w:t>
      </w:r>
      <w:r w:rsidRPr="00F24FF8">
        <w:rPr>
          <w:rFonts w:ascii="Arial" w:eastAsia="Arial" w:hAnsi="Arial" w:cs="Arial"/>
        </w:rPr>
        <w:t>sreligi</w:t>
      </w:r>
      <w:r w:rsidRPr="00F24FF8">
        <w:rPr>
          <w:rFonts w:ascii="Arial" w:eastAsia="Arial" w:hAnsi="Arial" w:cs="Arial"/>
          <w:spacing w:val="-4"/>
        </w:rPr>
        <w:t>o</w:t>
      </w:r>
      <w:r w:rsidRPr="00F24FF8">
        <w:rPr>
          <w:rFonts w:ascii="Arial" w:eastAsia="Arial" w:hAnsi="Arial" w:cs="Arial"/>
          <w:spacing w:val="2"/>
        </w:rPr>
        <w:t>s</w:t>
      </w:r>
      <w:r w:rsidRPr="00F24FF8">
        <w:rPr>
          <w:rFonts w:ascii="Arial" w:eastAsia="Arial" w:hAnsi="Arial" w:cs="Arial"/>
        </w:rPr>
        <w:t>as: $</w:t>
      </w:r>
      <w:r w:rsidRPr="00F24FF8">
        <w:rPr>
          <w:rFonts w:ascii="Arial" w:eastAsia="Arial" w:hAnsi="Arial" w:cs="Arial"/>
          <w:spacing w:val="-4"/>
        </w:rPr>
        <w:t>0</w:t>
      </w:r>
      <w:r w:rsidRPr="00F24FF8">
        <w:rPr>
          <w:rFonts w:ascii="Arial" w:eastAsia="Arial" w:hAnsi="Arial" w:cs="Arial"/>
          <w:spacing w:val="2"/>
        </w:rPr>
        <w:t>.</w:t>
      </w:r>
      <w:r w:rsidRPr="00F24FF8">
        <w:rPr>
          <w:rFonts w:ascii="Arial" w:eastAsia="Arial" w:hAnsi="Arial" w:cs="Arial"/>
        </w:rPr>
        <w:t>004</w:t>
      </w:r>
    </w:p>
    <w:p w:rsidR="005B30A4" w:rsidRPr="00F24FF8" w:rsidRDefault="005B30A4" w:rsidP="005B30A4">
      <w:pPr>
        <w:spacing w:line="510" w:lineRule="auto"/>
        <w:ind w:right="1041" w:firstLine="460"/>
        <w:jc w:val="both"/>
        <w:rPr>
          <w:rFonts w:ascii="Arial" w:eastAsia="Arial" w:hAnsi="Arial" w:cs="Arial"/>
        </w:rPr>
      </w:pPr>
      <w:r w:rsidRPr="00F24FF8">
        <w:rPr>
          <w:rFonts w:ascii="Arial" w:eastAsia="Arial" w:hAnsi="Arial" w:cs="Arial"/>
        </w:rPr>
        <w:t>g)   Tiendas,Minisúper,similares, hasta 12 metros cuadrados, tarifa fija</w:t>
      </w:r>
      <w:r>
        <w:rPr>
          <w:rFonts w:ascii="Arial" w:eastAsia="Arial" w:hAnsi="Arial" w:cs="Arial"/>
        </w:rPr>
        <w:t>$</w:t>
      </w:r>
      <w:r w:rsidRPr="00F24FF8">
        <w:rPr>
          <w:rFonts w:ascii="Arial" w:eastAsia="Arial" w:hAnsi="Arial" w:cs="Arial"/>
        </w:rPr>
        <w:t xml:space="preserve">5.00 </w:t>
      </w:r>
    </w:p>
    <w:p w:rsidR="005B30A4" w:rsidRPr="00F24FF8" w:rsidRDefault="005B30A4" w:rsidP="005B30A4">
      <w:pPr>
        <w:spacing w:line="510" w:lineRule="auto"/>
        <w:ind w:left="720" w:right="284"/>
        <w:jc w:val="both"/>
        <w:rPr>
          <w:rFonts w:ascii="Arial" w:eastAsia="Arial" w:hAnsi="Arial" w:cs="Arial"/>
        </w:rPr>
      </w:pPr>
      <w:r w:rsidRPr="00F24FF8">
        <w:rPr>
          <w:rFonts w:ascii="Arial" w:eastAsia="Arial" w:hAnsi="Arial" w:cs="Arial"/>
        </w:rPr>
        <w:t xml:space="preserve">  Tiendas, Minisúper, similares, de 13 a 24 metros cuadrados, tarifa fija de $10.00 </w:t>
      </w:r>
    </w:p>
    <w:p w:rsidR="005B30A4" w:rsidRPr="00F24FF8" w:rsidRDefault="005B30A4" w:rsidP="005B30A4">
      <w:pPr>
        <w:spacing w:line="510" w:lineRule="auto"/>
        <w:ind w:left="720" w:right="333"/>
        <w:jc w:val="both"/>
        <w:rPr>
          <w:rFonts w:ascii="Arial" w:eastAsia="Arial" w:hAnsi="Arial" w:cs="Arial"/>
        </w:rPr>
      </w:pPr>
      <w:r w:rsidRPr="00F24FF8">
        <w:rPr>
          <w:rFonts w:ascii="Arial" w:eastAsia="Arial" w:hAnsi="Arial" w:cs="Arial"/>
        </w:rPr>
        <w:t xml:space="preserve">  Tiendas, Minisúper,</w:t>
      </w:r>
      <w:r>
        <w:rPr>
          <w:rFonts w:ascii="Arial" w:eastAsia="Arial" w:hAnsi="Arial" w:cs="Arial"/>
        </w:rPr>
        <w:t xml:space="preserve"> </w:t>
      </w:r>
      <w:r w:rsidRPr="00F24FF8">
        <w:rPr>
          <w:rFonts w:ascii="Arial" w:eastAsia="Arial" w:hAnsi="Arial" w:cs="Arial"/>
        </w:rPr>
        <w:t>similares,mayor a 25 metros cuadrados, tarifa fija de $15.00</w:t>
      </w:r>
    </w:p>
    <w:p w:rsidR="005B30A4" w:rsidRPr="00F153D7" w:rsidRDefault="005B30A4" w:rsidP="005B30A4">
      <w:pPr>
        <w:pStyle w:val="Default"/>
        <w:jc w:val="both"/>
        <w:rPr>
          <w:rFonts w:eastAsia="Arial"/>
          <w:color w:val="auto"/>
          <w:sz w:val="23"/>
          <w:szCs w:val="23"/>
        </w:rPr>
      </w:pPr>
      <w:r w:rsidRPr="00F153D7">
        <w:rPr>
          <w:rFonts w:eastAsia="Arial"/>
          <w:color w:val="auto"/>
          <w:sz w:val="23"/>
          <w:szCs w:val="23"/>
        </w:rPr>
        <w:t>BARRIDO DE PASAJES, CALLES Y AVENIDAS.</w:t>
      </w:r>
    </w:p>
    <w:p w:rsidR="005B30A4" w:rsidRPr="00F153D7" w:rsidRDefault="005B30A4" w:rsidP="005B30A4">
      <w:pPr>
        <w:pStyle w:val="Default"/>
        <w:jc w:val="both"/>
        <w:rPr>
          <w:rFonts w:eastAsia="Arial"/>
          <w:color w:val="auto"/>
          <w:sz w:val="23"/>
          <w:szCs w:val="23"/>
        </w:rPr>
      </w:pPr>
    </w:p>
    <w:p w:rsidR="005B30A4" w:rsidRPr="00F153D7" w:rsidRDefault="005B30A4" w:rsidP="005B30A4">
      <w:pPr>
        <w:pStyle w:val="Default"/>
        <w:jc w:val="both"/>
        <w:rPr>
          <w:rFonts w:eastAsia="Arial"/>
          <w:color w:val="auto"/>
          <w:sz w:val="23"/>
          <w:szCs w:val="23"/>
        </w:rPr>
      </w:pPr>
      <w:r w:rsidRPr="00F153D7">
        <w:rPr>
          <w:rFonts w:eastAsia="Arial"/>
          <w:color w:val="auto"/>
          <w:sz w:val="23"/>
          <w:szCs w:val="23"/>
        </w:rPr>
        <w:t xml:space="preserve">Barrido de pasajes, calles y Avenidas: por metro cuadrado de área Barrida: $ 0.01 </w:t>
      </w:r>
    </w:p>
    <w:p w:rsidR="005B30A4" w:rsidRPr="00F153D7" w:rsidRDefault="005B30A4" w:rsidP="005B30A4">
      <w:pPr>
        <w:pStyle w:val="Default"/>
        <w:jc w:val="both"/>
        <w:rPr>
          <w:rFonts w:eastAsia="Arial"/>
          <w:color w:val="auto"/>
          <w:sz w:val="23"/>
          <w:szCs w:val="23"/>
        </w:rPr>
      </w:pPr>
    </w:p>
    <w:p w:rsidR="005B30A4" w:rsidRPr="00F153D7" w:rsidRDefault="005B30A4" w:rsidP="005B30A4">
      <w:pPr>
        <w:jc w:val="both"/>
        <w:rPr>
          <w:rFonts w:ascii="Arial" w:eastAsia="Arial" w:hAnsi="Arial" w:cs="Arial"/>
          <w:sz w:val="23"/>
          <w:szCs w:val="23"/>
        </w:rPr>
      </w:pPr>
      <w:r w:rsidRPr="00F153D7">
        <w:rPr>
          <w:rFonts w:ascii="Arial" w:eastAsia="Arial" w:hAnsi="Arial" w:cs="Arial"/>
          <w:sz w:val="23"/>
          <w:szCs w:val="23"/>
        </w:rPr>
        <w:t>Se prohíbe estrictamente la disposición final de desechos sólidos en sitios públicos, para lo cual se establece una multa de 1 a 200 salarios mínimos para desechos químicos y de 1 a 100 salarios mínimos para cualquier otra clase de desechos.</w:t>
      </w:r>
    </w:p>
    <w:p w:rsidR="005B30A4" w:rsidRPr="00F153D7" w:rsidRDefault="005B30A4" w:rsidP="005B30A4">
      <w:pPr>
        <w:autoSpaceDE w:val="0"/>
        <w:autoSpaceDN w:val="0"/>
        <w:adjustRightInd w:val="0"/>
        <w:jc w:val="both"/>
        <w:rPr>
          <w:rFonts w:ascii="Arial" w:eastAsia="Arial" w:hAnsi="Arial" w:cs="Arial"/>
          <w:sz w:val="23"/>
          <w:szCs w:val="23"/>
        </w:rPr>
      </w:pPr>
      <w:r w:rsidRPr="00F153D7">
        <w:rPr>
          <w:rFonts w:ascii="Arial" w:eastAsia="Arial" w:hAnsi="Arial" w:cs="Arial"/>
          <w:b/>
          <w:bCs/>
          <w:sz w:val="23"/>
          <w:szCs w:val="23"/>
        </w:rPr>
        <w:t>Sujeto pasivo</w:t>
      </w:r>
      <w:r w:rsidRPr="00F153D7">
        <w:rPr>
          <w:rFonts w:ascii="Arial" w:eastAsia="Arial" w:hAnsi="Arial" w:cs="Arial"/>
          <w:sz w:val="23"/>
          <w:szCs w:val="23"/>
        </w:rPr>
        <w:t>: todas las personas naturales o jurídicas que hagan uso del servicio de recolección, transporte y disposición final de desechos sólidos, ya sea permanentes o transitorios, sea propietario, poseedores o meros tenedores del inmueble. Lo que incluye personas usuarias instaladas en las vías y áreas públicas y/o del Estado.</w:t>
      </w:r>
    </w:p>
    <w:p w:rsidR="005B30A4" w:rsidRPr="00A711B5" w:rsidRDefault="005B30A4" w:rsidP="005B30A4">
      <w:pPr>
        <w:autoSpaceDE w:val="0"/>
        <w:autoSpaceDN w:val="0"/>
        <w:adjustRightInd w:val="0"/>
        <w:jc w:val="both"/>
        <w:rPr>
          <w:rFonts w:ascii="Times New Roman" w:hAnsi="Times New Roman" w:cs="Times New Roman"/>
          <w:b/>
        </w:rPr>
      </w:pPr>
      <w:r w:rsidRPr="00A711B5">
        <w:rPr>
          <w:rFonts w:ascii="Times New Roman" w:hAnsi="Times New Roman" w:cs="Times New Roman"/>
          <w:b/>
        </w:rPr>
        <w:t xml:space="preserve">No. 10 LICENCIAS Y PERMISOS: </w:t>
      </w:r>
    </w:p>
    <w:p w:rsidR="005B30A4" w:rsidRPr="00A711B5" w:rsidRDefault="005B30A4" w:rsidP="005B30A4">
      <w:pPr>
        <w:autoSpaceDE w:val="0"/>
        <w:autoSpaceDN w:val="0"/>
        <w:adjustRightInd w:val="0"/>
        <w:jc w:val="both"/>
        <w:rPr>
          <w:rFonts w:ascii="Times New Roman" w:hAnsi="Times New Roman" w:cs="Times New Roman"/>
        </w:rPr>
      </w:pPr>
      <w:r w:rsidRPr="00A711B5">
        <w:rPr>
          <w:rFonts w:ascii="Times New Roman" w:hAnsi="Times New Roman" w:cs="Times New Roman"/>
        </w:rPr>
        <w:t>a) Para construcciones, ampliaciones, reparaciones o mejoras de edificios, casas o ranchos recreativos, numerales 01,02 y 03.</w:t>
      </w:r>
    </w:p>
    <w:p w:rsidR="005B30A4" w:rsidRPr="00A711B5" w:rsidRDefault="005B30A4" w:rsidP="005B30A4">
      <w:pPr>
        <w:spacing w:before="120" w:line="240" w:lineRule="atLeast"/>
        <w:jc w:val="both"/>
        <w:rPr>
          <w:rFonts w:ascii="Times New Roman" w:hAnsi="Times New Roman" w:cs="Times New Roman"/>
        </w:rPr>
      </w:pPr>
      <w:r w:rsidRPr="00A711B5">
        <w:rPr>
          <w:rFonts w:ascii="Arial" w:hAnsi="Arial" w:cs="Arial"/>
          <w:color w:val="000000"/>
          <w:sz w:val="18"/>
          <w:szCs w:val="18"/>
        </w:rPr>
        <w:t>01- Para construcciones:</w:t>
      </w:r>
    </w:p>
    <w:tbl>
      <w:tblPr>
        <w:tblW w:w="0" w:type="auto"/>
        <w:tblInd w:w="40" w:type="dxa"/>
        <w:tblCellMar>
          <w:left w:w="0" w:type="dxa"/>
          <w:right w:w="0" w:type="dxa"/>
        </w:tblCellMar>
        <w:tblLook w:val="04A0"/>
      </w:tblPr>
      <w:tblGrid>
        <w:gridCol w:w="1857"/>
        <w:gridCol w:w="1689"/>
        <w:gridCol w:w="1666"/>
        <w:gridCol w:w="1666"/>
        <w:gridCol w:w="1666"/>
      </w:tblGrid>
      <w:tr w:rsidR="005B30A4" w:rsidRPr="00A711B5" w:rsidTr="006B4D3E">
        <w:tc>
          <w:tcPr>
            <w:tcW w:w="198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color w:val="000000"/>
              </w:rPr>
              <w:t>  </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color w:val="000000"/>
              </w:rPr>
              <w:t>Menores de 100.00 m2</w:t>
            </w:r>
          </w:p>
        </w:tc>
        <w:tc>
          <w:tcPr>
            <w:tcW w:w="179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color w:val="000000"/>
              </w:rPr>
              <w:t>Igual o mayor a 100.00 m2 y menor a 125.00 m2</w:t>
            </w:r>
          </w:p>
        </w:tc>
        <w:tc>
          <w:tcPr>
            <w:tcW w:w="179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color w:val="000000"/>
              </w:rPr>
              <w:t>Igual o mayor a 125.00 m2 y menor a 200.00 m2</w:t>
            </w:r>
          </w:p>
        </w:tc>
        <w:tc>
          <w:tcPr>
            <w:tcW w:w="179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color w:val="000000"/>
              </w:rPr>
              <w:t>Igual o mayor a 200.00 m2</w:t>
            </w:r>
          </w:p>
        </w:tc>
      </w:tr>
      <w:tr w:rsidR="005B30A4" w:rsidRPr="00A711B5" w:rsidTr="006B4D3E">
        <w:tc>
          <w:tcPr>
            <w:tcW w:w="198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lastRenderedPageBreak/>
              <w:t>Primer Nivel</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$ 2.00</w:t>
            </w:r>
            <w:r w:rsidRPr="00A711B5">
              <w:rPr>
                <w:rFonts w:ascii="Times New Roman" w:hAnsi="Times New Roman" w:cs="Times New Roman"/>
              </w:rPr>
              <w:t xml:space="preserve"> por m2</w:t>
            </w:r>
          </w:p>
        </w:tc>
        <w:tc>
          <w:tcPr>
            <w:tcW w:w="179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$ 3.00</w:t>
            </w:r>
            <w:r w:rsidRPr="00A711B5">
              <w:rPr>
                <w:rFonts w:ascii="Times New Roman" w:hAnsi="Times New Roman" w:cs="Times New Roman"/>
              </w:rPr>
              <w:t xml:space="preserve"> por m2</w:t>
            </w:r>
          </w:p>
        </w:tc>
        <w:tc>
          <w:tcPr>
            <w:tcW w:w="179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$ 4.00</w:t>
            </w:r>
            <w:r w:rsidRPr="00A711B5">
              <w:rPr>
                <w:rFonts w:ascii="Times New Roman" w:hAnsi="Times New Roman" w:cs="Times New Roman"/>
              </w:rPr>
              <w:t xml:space="preserve"> por m2</w:t>
            </w:r>
          </w:p>
        </w:tc>
        <w:tc>
          <w:tcPr>
            <w:tcW w:w="179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$ 5.00</w:t>
            </w:r>
            <w:r w:rsidRPr="00A711B5">
              <w:rPr>
                <w:rFonts w:ascii="Times New Roman" w:hAnsi="Times New Roman" w:cs="Times New Roman"/>
              </w:rPr>
              <w:t xml:space="preserve"> por m2</w:t>
            </w:r>
          </w:p>
        </w:tc>
      </w:tr>
      <w:tr w:rsidR="005B30A4" w:rsidRPr="00A711B5" w:rsidTr="006B4D3E">
        <w:tc>
          <w:tcPr>
            <w:tcW w:w="198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t>Segundo Nivel o más</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$ 1.00</w:t>
            </w:r>
            <w:r w:rsidRPr="00A711B5">
              <w:rPr>
                <w:rFonts w:ascii="Times New Roman" w:hAnsi="Times New Roman" w:cs="Times New Roman"/>
              </w:rPr>
              <w:t xml:space="preserve"> por m2</w:t>
            </w:r>
          </w:p>
        </w:tc>
        <w:tc>
          <w:tcPr>
            <w:tcW w:w="179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$ 2.00</w:t>
            </w:r>
            <w:r w:rsidRPr="00A711B5">
              <w:rPr>
                <w:rFonts w:ascii="Times New Roman" w:hAnsi="Times New Roman" w:cs="Times New Roman"/>
              </w:rPr>
              <w:t xml:space="preserve"> por m2</w:t>
            </w:r>
          </w:p>
        </w:tc>
        <w:tc>
          <w:tcPr>
            <w:tcW w:w="179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$ 2.50</w:t>
            </w:r>
            <w:r w:rsidRPr="00A711B5">
              <w:rPr>
                <w:rFonts w:ascii="Times New Roman" w:hAnsi="Times New Roman" w:cs="Times New Roman"/>
              </w:rPr>
              <w:t xml:space="preserve"> por m2</w:t>
            </w:r>
          </w:p>
        </w:tc>
        <w:tc>
          <w:tcPr>
            <w:tcW w:w="179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$ 3.00</w:t>
            </w:r>
            <w:r w:rsidRPr="00A711B5">
              <w:rPr>
                <w:rFonts w:ascii="Times New Roman" w:hAnsi="Times New Roman" w:cs="Times New Roman"/>
              </w:rPr>
              <w:t xml:space="preserve"> por m2</w:t>
            </w:r>
          </w:p>
        </w:tc>
      </w:tr>
    </w:tbl>
    <w:p w:rsidR="005B30A4" w:rsidRPr="00A711B5" w:rsidRDefault="005B30A4" w:rsidP="005B30A4">
      <w:pPr>
        <w:jc w:val="both"/>
        <w:rPr>
          <w:rFonts w:ascii="Times New Roman" w:hAnsi="Times New Roman" w:cs="Times New Roman"/>
        </w:rPr>
      </w:pPr>
      <w:r w:rsidRPr="00A711B5">
        <w:rPr>
          <w:rFonts w:ascii="Times New Roman" w:hAnsi="Times New Roman" w:cs="Times New Roman"/>
          <w:color w:val="000000"/>
        </w:rPr>
        <w:t> Para las construcciones menores a 100 m2 se le agregará al resultado el 0.5% del monto total del presupuesto. Y para las construcciones iguales o mayores a 75.00 m2 se le agregará al resultado el 1% del monto total del presupuesto.</w:t>
      </w:r>
    </w:p>
    <w:p w:rsidR="005B30A4" w:rsidRPr="00A711B5" w:rsidRDefault="005B30A4" w:rsidP="005B30A4">
      <w:pPr>
        <w:jc w:val="both"/>
        <w:rPr>
          <w:rFonts w:ascii="Times New Roman" w:hAnsi="Times New Roman" w:cs="Times New Roman"/>
          <w:color w:val="000000"/>
        </w:rPr>
      </w:pPr>
      <w:r w:rsidRPr="00A711B5">
        <w:rPr>
          <w:rFonts w:ascii="Times New Roman" w:hAnsi="Times New Roman" w:cs="Times New Roman"/>
          <w:color w:val="000000"/>
        </w:rPr>
        <w:t> 02-  Para ampliaciones:</w:t>
      </w:r>
    </w:p>
    <w:tbl>
      <w:tblPr>
        <w:tblW w:w="9165" w:type="dxa"/>
        <w:tblInd w:w="40" w:type="dxa"/>
        <w:tblCellMar>
          <w:left w:w="0" w:type="dxa"/>
          <w:right w:w="0" w:type="dxa"/>
        </w:tblCellMar>
        <w:tblLook w:val="04A0"/>
      </w:tblPr>
      <w:tblGrid>
        <w:gridCol w:w="1986"/>
        <w:gridCol w:w="1794"/>
        <w:gridCol w:w="1795"/>
        <w:gridCol w:w="1795"/>
        <w:gridCol w:w="1795"/>
      </w:tblGrid>
      <w:tr w:rsidR="005B30A4" w:rsidRPr="00A711B5" w:rsidTr="006B4D3E">
        <w:tc>
          <w:tcPr>
            <w:tcW w:w="198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rPr>
              <w:t> </w:t>
            </w:r>
          </w:p>
        </w:tc>
        <w:tc>
          <w:tcPr>
            <w:tcW w:w="1794"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t>Menores de 100.00 m2</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t>Igual o mayor a 100.00 m2 y menor a 125.00 m2</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t>Igual o mayor a 125.00 m2 y menor a 200.00 m2</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t>Igual o mayor a 200.00 m2</w:t>
            </w:r>
          </w:p>
        </w:tc>
      </w:tr>
      <w:tr w:rsidR="005B30A4" w:rsidRPr="00A711B5" w:rsidTr="006B4D3E">
        <w:tc>
          <w:tcPr>
            <w:tcW w:w="198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t>Primer Nivel</w:t>
            </w:r>
          </w:p>
        </w:tc>
        <w:tc>
          <w:tcPr>
            <w:tcW w:w="1794"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xml:space="preserve">$ 1.00 </w:t>
            </w:r>
            <w:r w:rsidRPr="00A711B5">
              <w:rPr>
                <w:rFonts w:ascii="Times New Roman" w:hAnsi="Times New Roman" w:cs="Times New Roman"/>
              </w:rPr>
              <w:t>por m2</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$ 2.00</w:t>
            </w:r>
            <w:r w:rsidRPr="00A711B5">
              <w:rPr>
                <w:rFonts w:ascii="Times New Roman" w:hAnsi="Times New Roman" w:cs="Times New Roman"/>
              </w:rPr>
              <w:t xml:space="preserve"> por m2</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$ 2.50</w:t>
            </w:r>
            <w:r w:rsidRPr="00A711B5">
              <w:rPr>
                <w:rFonts w:ascii="Times New Roman" w:hAnsi="Times New Roman" w:cs="Times New Roman"/>
              </w:rPr>
              <w:t xml:space="preserve"> por m2</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$ 3.00</w:t>
            </w:r>
            <w:r w:rsidRPr="00A711B5">
              <w:rPr>
                <w:rFonts w:ascii="Times New Roman" w:hAnsi="Times New Roman" w:cs="Times New Roman"/>
              </w:rPr>
              <w:t xml:space="preserve"> por m2</w:t>
            </w:r>
          </w:p>
        </w:tc>
      </w:tr>
      <w:tr w:rsidR="005B30A4" w:rsidRPr="00A711B5" w:rsidTr="006B4D3E">
        <w:tc>
          <w:tcPr>
            <w:tcW w:w="198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t>Segundo Nivel o más</w:t>
            </w:r>
          </w:p>
        </w:tc>
        <w:tc>
          <w:tcPr>
            <w:tcW w:w="1794"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$ 0.75</w:t>
            </w:r>
            <w:r w:rsidRPr="00A711B5">
              <w:rPr>
                <w:rFonts w:ascii="Times New Roman" w:hAnsi="Times New Roman" w:cs="Times New Roman"/>
              </w:rPr>
              <w:t xml:space="preserve"> por m2</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$ 1.00</w:t>
            </w:r>
            <w:r w:rsidRPr="00A711B5">
              <w:rPr>
                <w:rFonts w:ascii="Times New Roman" w:hAnsi="Times New Roman" w:cs="Times New Roman"/>
              </w:rPr>
              <w:t xml:space="preserve"> por m2</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$ 1.50</w:t>
            </w:r>
            <w:r w:rsidRPr="00A711B5">
              <w:rPr>
                <w:rFonts w:ascii="Times New Roman" w:hAnsi="Times New Roman" w:cs="Times New Roman"/>
              </w:rPr>
              <w:t xml:space="preserve"> por m2</w:t>
            </w:r>
          </w:p>
        </w:tc>
        <w:tc>
          <w:tcPr>
            <w:tcW w:w="1795"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rPr>
              <w:t>$ 2.00</w:t>
            </w:r>
            <w:r w:rsidRPr="00A711B5">
              <w:rPr>
                <w:rFonts w:ascii="Times New Roman" w:hAnsi="Times New Roman" w:cs="Times New Roman"/>
              </w:rPr>
              <w:t xml:space="preserve"> por m2</w:t>
            </w:r>
          </w:p>
        </w:tc>
      </w:tr>
    </w:tbl>
    <w:p w:rsidR="005B30A4" w:rsidRPr="00A711B5" w:rsidRDefault="005B30A4" w:rsidP="005B30A4">
      <w:pPr>
        <w:jc w:val="both"/>
        <w:rPr>
          <w:rFonts w:ascii="Times New Roman" w:hAnsi="Times New Roman" w:cs="Times New Roman"/>
        </w:rPr>
      </w:pPr>
      <w:r w:rsidRPr="00A711B5">
        <w:rPr>
          <w:rFonts w:ascii="Times New Roman" w:hAnsi="Times New Roman" w:cs="Times New Roman"/>
          <w:color w:val="000000"/>
        </w:rPr>
        <w:t> Para las ampliaciones menores a 100 m2 se le agregará al resultado el 0.5% del monto total del presupuesto. Y para las ampliaciones iguales o mayores a 100.00 m2 se le agregará al resultado el 1% del monto total del presupuesto.</w:t>
      </w:r>
    </w:p>
    <w:p w:rsidR="005B30A4" w:rsidRPr="00A711B5" w:rsidRDefault="005B30A4" w:rsidP="005B30A4">
      <w:pPr>
        <w:jc w:val="both"/>
        <w:rPr>
          <w:rFonts w:ascii="Times New Roman" w:hAnsi="Times New Roman" w:cs="Times New Roman"/>
        </w:rPr>
      </w:pPr>
      <w:r w:rsidRPr="00A711B5">
        <w:rPr>
          <w:rFonts w:ascii="Times New Roman" w:hAnsi="Times New Roman" w:cs="Times New Roman"/>
          <w:color w:val="000000"/>
        </w:rPr>
        <w:t> 03-  Para remodelaciones y mejoras de obras existentes:</w:t>
      </w:r>
    </w:p>
    <w:tbl>
      <w:tblPr>
        <w:tblW w:w="0" w:type="auto"/>
        <w:tblInd w:w="40" w:type="dxa"/>
        <w:tblCellMar>
          <w:left w:w="0" w:type="dxa"/>
          <w:right w:w="0" w:type="dxa"/>
        </w:tblCellMar>
        <w:tblLook w:val="04A0"/>
      </w:tblPr>
      <w:tblGrid>
        <w:gridCol w:w="1867"/>
        <w:gridCol w:w="1682"/>
        <w:gridCol w:w="1665"/>
        <w:gridCol w:w="1665"/>
        <w:gridCol w:w="1665"/>
      </w:tblGrid>
      <w:tr w:rsidR="005B30A4" w:rsidRPr="00A711B5" w:rsidTr="006B4D3E">
        <w:tc>
          <w:tcPr>
            <w:tcW w:w="191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color w:val="000000"/>
              </w:rPr>
              <w:t>  </w:t>
            </w:r>
          </w:p>
        </w:tc>
        <w:tc>
          <w:tcPr>
            <w:tcW w:w="172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bCs/>
                <w:color w:val="000000"/>
                <w:sz w:val="18"/>
                <w:szCs w:val="18"/>
              </w:rPr>
              <w:t>Menores de 100.00 m2</w:t>
            </w:r>
          </w:p>
        </w:tc>
        <w:tc>
          <w:tcPr>
            <w:tcW w:w="171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bCs/>
                <w:color w:val="000000"/>
                <w:sz w:val="18"/>
                <w:szCs w:val="18"/>
              </w:rPr>
              <w:t>Igual o mayor a 100.00 m2 y menor a 125.00 m2</w:t>
            </w:r>
          </w:p>
        </w:tc>
        <w:tc>
          <w:tcPr>
            <w:tcW w:w="171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bCs/>
                <w:color w:val="000000"/>
                <w:sz w:val="18"/>
                <w:szCs w:val="18"/>
              </w:rPr>
              <w:t>Igual o mayor a 125.00 m2 y menor a 200.00 m2</w:t>
            </w:r>
          </w:p>
        </w:tc>
        <w:tc>
          <w:tcPr>
            <w:tcW w:w="171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bCs/>
                <w:color w:val="000000"/>
                <w:sz w:val="18"/>
                <w:szCs w:val="18"/>
              </w:rPr>
              <w:t>Igual o mayor a 200.00 m2</w:t>
            </w:r>
          </w:p>
        </w:tc>
      </w:tr>
      <w:tr w:rsidR="005B30A4" w:rsidRPr="00A711B5" w:rsidTr="006B4D3E">
        <w:tc>
          <w:tcPr>
            <w:tcW w:w="191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t>Primer Nivel</w:t>
            </w:r>
          </w:p>
        </w:tc>
        <w:tc>
          <w:tcPr>
            <w:tcW w:w="172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sz w:val="18"/>
                <w:szCs w:val="18"/>
              </w:rPr>
              <w:t xml:space="preserve">$ 1.25 </w:t>
            </w:r>
            <w:r w:rsidRPr="00A711B5">
              <w:rPr>
                <w:rFonts w:ascii="Times New Roman" w:hAnsi="Times New Roman" w:cs="Times New Roman"/>
                <w:sz w:val="18"/>
                <w:szCs w:val="18"/>
              </w:rPr>
              <w:t>por m2</w:t>
            </w:r>
          </w:p>
        </w:tc>
        <w:tc>
          <w:tcPr>
            <w:tcW w:w="171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sz w:val="18"/>
                <w:szCs w:val="18"/>
              </w:rPr>
              <w:t>$ 1.50</w:t>
            </w:r>
            <w:r w:rsidRPr="00A711B5">
              <w:rPr>
                <w:rFonts w:ascii="Times New Roman" w:hAnsi="Times New Roman" w:cs="Times New Roman"/>
                <w:sz w:val="18"/>
                <w:szCs w:val="18"/>
              </w:rPr>
              <w:t xml:space="preserve"> por m2</w:t>
            </w:r>
          </w:p>
        </w:tc>
        <w:tc>
          <w:tcPr>
            <w:tcW w:w="171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sz w:val="18"/>
                <w:szCs w:val="18"/>
              </w:rPr>
              <w:t xml:space="preserve">$ 1.75 </w:t>
            </w:r>
            <w:r w:rsidRPr="00A711B5">
              <w:rPr>
                <w:rFonts w:ascii="Times New Roman" w:hAnsi="Times New Roman" w:cs="Times New Roman"/>
                <w:sz w:val="18"/>
                <w:szCs w:val="18"/>
              </w:rPr>
              <w:t>por m2</w:t>
            </w:r>
          </w:p>
        </w:tc>
        <w:tc>
          <w:tcPr>
            <w:tcW w:w="171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sz w:val="18"/>
                <w:szCs w:val="18"/>
              </w:rPr>
              <w:t>$ 2.00</w:t>
            </w:r>
            <w:r w:rsidRPr="00A711B5">
              <w:rPr>
                <w:rFonts w:ascii="Times New Roman" w:hAnsi="Times New Roman" w:cs="Times New Roman"/>
                <w:sz w:val="18"/>
                <w:szCs w:val="18"/>
              </w:rPr>
              <w:t xml:space="preserve"> por m2</w:t>
            </w:r>
          </w:p>
        </w:tc>
      </w:tr>
      <w:tr w:rsidR="005B30A4" w:rsidRPr="00A711B5" w:rsidTr="006B4D3E">
        <w:tc>
          <w:tcPr>
            <w:tcW w:w="1916"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rPr>
            </w:pPr>
            <w:r w:rsidRPr="00A711B5">
              <w:rPr>
                <w:rFonts w:ascii="Times New Roman" w:hAnsi="Times New Roman" w:cs="Times New Roman"/>
                <w:b/>
                <w:bCs/>
              </w:rPr>
              <w:t>Segundo Nivel o más</w:t>
            </w:r>
          </w:p>
        </w:tc>
        <w:tc>
          <w:tcPr>
            <w:tcW w:w="172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sz w:val="18"/>
                <w:szCs w:val="18"/>
              </w:rPr>
              <w:t>$ 1.00</w:t>
            </w:r>
            <w:r w:rsidRPr="00A711B5">
              <w:rPr>
                <w:rFonts w:ascii="Times New Roman" w:hAnsi="Times New Roman" w:cs="Times New Roman"/>
                <w:sz w:val="18"/>
                <w:szCs w:val="18"/>
              </w:rPr>
              <w:t xml:space="preserve"> por m2</w:t>
            </w:r>
          </w:p>
        </w:tc>
        <w:tc>
          <w:tcPr>
            <w:tcW w:w="171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sz w:val="18"/>
                <w:szCs w:val="18"/>
              </w:rPr>
              <w:t>$ 1.25</w:t>
            </w:r>
            <w:r w:rsidRPr="00A711B5">
              <w:rPr>
                <w:rFonts w:ascii="Times New Roman" w:hAnsi="Times New Roman" w:cs="Times New Roman"/>
                <w:sz w:val="18"/>
                <w:szCs w:val="18"/>
              </w:rPr>
              <w:t xml:space="preserve"> por m2</w:t>
            </w:r>
          </w:p>
        </w:tc>
        <w:tc>
          <w:tcPr>
            <w:tcW w:w="171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sz w:val="18"/>
                <w:szCs w:val="18"/>
              </w:rPr>
              <w:t>$ 1.50</w:t>
            </w:r>
            <w:r w:rsidRPr="00A711B5">
              <w:rPr>
                <w:rFonts w:ascii="Times New Roman" w:hAnsi="Times New Roman" w:cs="Times New Roman"/>
                <w:sz w:val="18"/>
                <w:szCs w:val="18"/>
              </w:rPr>
              <w:t xml:space="preserve"> por m2</w:t>
            </w:r>
          </w:p>
        </w:tc>
        <w:tc>
          <w:tcPr>
            <w:tcW w:w="1718" w:type="dxa"/>
            <w:tcMar>
              <w:top w:w="0" w:type="dxa"/>
              <w:left w:w="40" w:type="dxa"/>
              <w:bottom w:w="0" w:type="dxa"/>
              <w:right w:w="40" w:type="dxa"/>
            </w:tcMar>
            <w:hideMark/>
          </w:tcPr>
          <w:p w:rsidR="005B30A4" w:rsidRPr="00A711B5" w:rsidRDefault="005B30A4" w:rsidP="006B4D3E">
            <w:pPr>
              <w:jc w:val="both"/>
              <w:rPr>
                <w:rFonts w:ascii="Times New Roman" w:hAnsi="Times New Roman" w:cs="Times New Roman"/>
                <w:sz w:val="18"/>
                <w:szCs w:val="18"/>
              </w:rPr>
            </w:pPr>
            <w:r w:rsidRPr="00A711B5">
              <w:rPr>
                <w:rFonts w:ascii="Times New Roman" w:hAnsi="Times New Roman" w:cs="Times New Roman"/>
                <w:b/>
                <w:sz w:val="18"/>
                <w:szCs w:val="18"/>
              </w:rPr>
              <w:t>$ 2.00</w:t>
            </w:r>
            <w:r w:rsidRPr="00A711B5">
              <w:rPr>
                <w:rFonts w:ascii="Times New Roman" w:hAnsi="Times New Roman" w:cs="Times New Roman"/>
                <w:sz w:val="18"/>
                <w:szCs w:val="18"/>
              </w:rPr>
              <w:t xml:space="preserve"> por m2</w:t>
            </w:r>
          </w:p>
        </w:tc>
      </w:tr>
    </w:tbl>
    <w:p w:rsidR="005B30A4" w:rsidRPr="00A711B5" w:rsidRDefault="005B30A4" w:rsidP="005B30A4">
      <w:pPr>
        <w:jc w:val="both"/>
        <w:rPr>
          <w:rFonts w:ascii="Times New Roman" w:hAnsi="Times New Roman" w:cs="Times New Roman"/>
        </w:rPr>
      </w:pPr>
      <w:r w:rsidRPr="00A711B5">
        <w:rPr>
          <w:rFonts w:ascii="Times New Roman" w:hAnsi="Times New Roman" w:cs="Times New Roman"/>
          <w:color w:val="000000"/>
        </w:rPr>
        <w:t> Para las remodelaciones y mejoras de obras existentes menores a 100 m2 se le agregará al resultado el 0.5% del monto total del presupuesto. Y para las remodelaciones y mejoras de obras existes igual o mayor a 100.00 m2 se le agregará al resultado el 1% del monto total del presupuesto.</w:t>
      </w:r>
    </w:p>
    <w:p w:rsidR="005B30A4" w:rsidRPr="00A711B5" w:rsidRDefault="005B30A4" w:rsidP="005B30A4">
      <w:pPr>
        <w:autoSpaceDE w:val="0"/>
        <w:autoSpaceDN w:val="0"/>
        <w:adjustRightInd w:val="0"/>
        <w:jc w:val="both"/>
        <w:rPr>
          <w:rFonts w:ascii="Times New Roman" w:eastAsia="Arial" w:hAnsi="Times New Roman" w:cs="Times New Roman"/>
        </w:rPr>
      </w:pPr>
      <w:r w:rsidRPr="00A711B5">
        <w:rPr>
          <w:rFonts w:ascii="Times New Roman" w:eastAsia="Arial" w:hAnsi="Times New Roman" w:cs="Times New Roman"/>
          <w:b/>
        </w:rPr>
        <w:t xml:space="preserve">Derogatoria: </w:t>
      </w:r>
      <w:r w:rsidRPr="00A711B5">
        <w:rPr>
          <w:rFonts w:ascii="Times New Roman" w:eastAsia="Arial" w:hAnsi="Times New Roman" w:cs="Times New Roman"/>
        </w:rPr>
        <w:t>Derogase el Artículo 7, No. 1. Alumbrado Público y No. 2. Aseo Público, y No. 10</w:t>
      </w:r>
      <w:r w:rsidRPr="00A711B5">
        <w:rPr>
          <w:rFonts w:ascii="Times New Roman" w:hAnsi="Times New Roman" w:cs="Times New Roman"/>
        </w:rPr>
        <w:t xml:space="preserve"> literal a) numerales 01,02 y 03”; </w:t>
      </w:r>
      <w:r w:rsidRPr="00A711B5">
        <w:rPr>
          <w:rFonts w:ascii="Times New Roman" w:eastAsia="Arial" w:hAnsi="Times New Roman" w:cs="Times New Roman"/>
        </w:rPr>
        <w:t xml:space="preserve">de la anterior Ordenanza Reguladora de Tasas por Servicios Municipales del Municipio de San Luis La Herradura, Departamento de La Paz. Publicada en el Diario Oficial No. 168 Tomo No. 400 de fecha 12 de septiembre de 2013.  </w:t>
      </w:r>
    </w:p>
    <w:p w:rsidR="005B30A4" w:rsidRPr="00A711B5" w:rsidRDefault="005B30A4" w:rsidP="005B30A4">
      <w:pPr>
        <w:spacing w:after="0" w:line="276" w:lineRule="auto"/>
        <w:contextualSpacing/>
        <w:jc w:val="both"/>
        <w:rPr>
          <w:rFonts w:ascii="Times New Roman" w:hAnsi="Times New Roman" w:cs="Times New Roman"/>
          <w:lang w:val="es-ES"/>
        </w:rPr>
      </w:pPr>
      <w:r w:rsidRPr="00A711B5">
        <w:rPr>
          <w:rFonts w:ascii="Times New Roman" w:hAnsi="Times New Roman" w:cs="Times New Roman"/>
          <w:b/>
          <w:lang w:val="es-ES"/>
        </w:rPr>
        <w:t>Vigencia.</w:t>
      </w:r>
      <w:r w:rsidRPr="00A711B5">
        <w:rPr>
          <w:rFonts w:ascii="Times New Roman" w:hAnsi="Times New Roman" w:cs="Times New Roman"/>
          <w:lang w:val="es-ES"/>
        </w:rPr>
        <w:t xml:space="preserve"> La presente Ordenanza entrará en vigencia ocho días después de su publicación en el Diario Oficial. </w:t>
      </w:r>
    </w:p>
    <w:p w:rsidR="005B30A4" w:rsidRPr="003A5F9B" w:rsidRDefault="005B30A4" w:rsidP="005B30A4">
      <w:pPr>
        <w:spacing w:before="120" w:line="240" w:lineRule="atLeast"/>
        <w:ind w:firstLine="360"/>
        <w:jc w:val="both"/>
        <w:rPr>
          <w:rFonts w:ascii="Times New Roman" w:eastAsia="Times New Roman" w:hAnsi="Times New Roman" w:cs="Times New Roman"/>
        </w:rPr>
      </w:pPr>
      <w:r w:rsidRPr="003A5F9B">
        <w:rPr>
          <w:rFonts w:ascii="Times New Roman" w:eastAsia="Times New Roman" w:hAnsi="Times New Roman" w:cs="Times New Roman"/>
        </w:rPr>
        <w:t xml:space="preserve">Dado en el Salón de Sesiones del Concejo Municipal de la ciudad de </w:t>
      </w:r>
      <w:r w:rsidRPr="003A5F9B">
        <w:rPr>
          <w:rFonts w:ascii="Times New Roman" w:eastAsia="Times New Roman" w:hAnsi="Times New Roman" w:cs="Times New Roman"/>
          <w:b/>
          <w:bCs/>
        </w:rPr>
        <w:t>SanLuis</w:t>
      </w:r>
      <w:r w:rsidRPr="003A5F9B">
        <w:rPr>
          <w:rFonts w:ascii="Times New Roman" w:eastAsia="Times New Roman" w:hAnsi="Times New Roman" w:cs="Times New Roman"/>
          <w:b/>
        </w:rPr>
        <w:t>La</w:t>
      </w:r>
      <w:r w:rsidRPr="003A5F9B">
        <w:rPr>
          <w:rFonts w:ascii="Times New Roman" w:eastAsia="Times New Roman" w:hAnsi="Times New Roman" w:cs="Times New Roman"/>
          <w:b/>
          <w:bCs/>
        </w:rPr>
        <w:t>Herradura</w:t>
      </w:r>
      <w:r w:rsidRPr="003A5F9B">
        <w:rPr>
          <w:rFonts w:ascii="Times New Roman" w:eastAsia="Times New Roman" w:hAnsi="Times New Roman" w:cs="Times New Roman"/>
        </w:rPr>
        <w:t>, Departamento de La Paz, a los diecisiete días del mes de septiembre del año dos mil veintiuno.</w:t>
      </w:r>
    </w:p>
    <w:p w:rsidR="005B30A4" w:rsidRPr="001870E6" w:rsidRDefault="005B30A4" w:rsidP="005B30A4">
      <w:pPr>
        <w:autoSpaceDE w:val="0"/>
        <w:autoSpaceDN w:val="0"/>
        <w:adjustRightInd w:val="0"/>
        <w:jc w:val="both"/>
        <w:rPr>
          <w:rFonts w:ascii="Arial" w:eastAsia="Arial" w:hAnsi="Arial" w:cs="Arial"/>
          <w:u w:val="single"/>
        </w:rPr>
      </w:pPr>
      <w:r w:rsidRPr="001870E6">
        <w:rPr>
          <w:rFonts w:ascii="Times New Roman" w:eastAsia="Arial" w:hAnsi="Times New Roman" w:cs="Times New Roman"/>
          <w:b/>
          <w:sz w:val="24"/>
          <w:szCs w:val="24"/>
          <w:u w:val="single"/>
        </w:rPr>
        <w:t>ACUERDO NUMERO SIETE:</w:t>
      </w:r>
      <w:r w:rsidRPr="001870E6">
        <w:rPr>
          <w:rFonts w:ascii="Times New Roman" w:eastAsia="Arial" w:hAnsi="Times New Roman" w:cs="Times New Roman"/>
          <w:sz w:val="24"/>
          <w:szCs w:val="24"/>
          <w:u w:val="single"/>
        </w:rPr>
        <w:t xml:space="preserve"> El Concejo Municipal de Villa San Luis La Herradura Departamento de la Paz</w:t>
      </w:r>
      <w:r w:rsidRPr="001870E6">
        <w:rPr>
          <w:rFonts w:ascii="Times New Roman" w:eastAsia="Arial" w:hAnsi="Times New Roman" w:cs="Times New Roman"/>
          <w:sz w:val="24"/>
          <w:szCs w:val="24"/>
        </w:rPr>
        <w:t>, en uso de sus facultades legales que le confiere el Código Municipal y considerando que de conformidad al DECRETO MUNICIPAL NÚMERO 03/2021, de esta misma Acta, este Concejo Municipal Acordó</w:t>
      </w:r>
      <w:r w:rsidRPr="001870E6">
        <w:rPr>
          <w:rFonts w:ascii="Times New Roman" w:hAnsi="Times New Roman" w:cs="Times New Roman"/>
          <w:b/>
          <w:sz w:val="24"/>
          <w:szCs w:val="24"/>
        </w:rPr>
        <w:t xml:space="preserve"> Decretar La Reforma a la Ordenanza Reguladora de Tasas por Servicios Municipales de San Luis La </w:t>
      </w:r>
      <w:r w:rsidRPr="001870E6">
        <w:rPr>
          <w:rFonts w:ascii="Times New Roman" w:hAnsi="Times New Roman" w:cs="Times New Roman"/>
          <w:b/>
          <w:sz w:val="24"/>
          <w:szCs w:val="24"/>
        </w:rPr>
        <w:lastRenderedPageBreak/>
        <w:t>Herradura, Departamento de La Paz, en su Capitulo Segundo de las Tasas Art. 7 Servicios Públicos</w:t>
      </w:r>
      <w:r w:rsidRPr="001870E6">
        <w:rPr>
          <w:rFonts w:ascii="Times New Roman" w:hAnsi="Times New Roman" w:cs="Times New Roman"/>
          <w:sz w:val="24"/>
          <w:szCs w:val="24"/>
        </w:rPr>
        <w:t xml:space="preserve"> N°.1, N°. 2 y N°. 10 literal a) numerales 01, 02 y 03”</w:t>
      </w:r>
      <w:r w:rsidRPr="001870E6">
        <w:rPr>
          <w:rFonts w:ascii="Times New Roman" w:hAnsi="Times New Roman" w:cs="Times New Roman"/>
          <w:b/>
          <w:sz w:val="24"/>
          <w:szCs w:val="24"/>
        </w:rPr>
        <w:t>;</w:t>
      </w:r>
      <w:r w:rsidRPr="001870E6">
        <w:rPr>
          <w:rFonts w:ascii="Times New Roman" w:hAnsi="Times New Roman" w:cs="Times New Roman"/>
          <w:sz w:val="24"/>
          <w:szCs w:val="24"/>
        </w:rPr>
        <w:t xml:space="preserve"> por lo que para continuar con dicho proceso, este Concejo Municipal.</w:t>
      </w:r>
      <w:r w:rsidRPr="001870E6">
        <w:rPr>
          <w:rFonts w:ascii="Times New Roman" w:eastAsia="Arial" w:hAnsi="Times New Roman" w:cs="Times New Roman"/>
          <w:b/>
          <w:sz w:val="24"/>
          <w:szCs w:val="24"/>
          <w:u w:val="single"/>
        </w:rPr>
        <w:t xml:space="preserve">ACUERDA: a) </w:t>
      </w:r>
      <w:r w:rsidRPr="001870E6">
        <w:rPr>
          <w:rFonts w:ascii="Times New Roman" w:eastAsia="Arial" w:hAnsi="Times New Roman" w:cs="Times New Roman"/>
          <w:sz w:val="24"/>
          <w:szCs w:val="24"/>
          <w:u w:val="single"/>
        </w:rPr>
        <w:t>Autorizar al Tesorero Municipal para que erogue de los Fondos Propios</w:t>
      </w:r>
      <w:r>
        <w:rPr>
          <w:rFonts w:ascii="Times New Roman" w:eastAsia="Arial" w:hAnsi="Times New Roman" w:cs="Times New Roman"/>
          <w:sz w:val="24"/>
          <w:szCs w:val="24"/>
          <w:u w:val="single"/>
        </w:rPr>
        <w:t>, la cantidad correspondiente,</w:t>
      </w:r>
      <w:r w:rsidRPr="001870E6">
        <w:rPr>
          <w:rFonts w:ascii="Times New Roman" w:eastAsia="Arial" w:hAnsi="Times New Roman" w:cs="Times New Roman"/>
          <w:sz w:val="24"/>
          <w:szCs w:val="24"/>
          <w:u w:val="single"/>
        </w:rPr>
        <w:t xml:space="preserve">para la publicación de dicho decreto en el Diario Oficial de la Imprenta Nacional de conformidad a la documentación legal que se le presente. </w:t>
      </w:r>
      <w:r w:rsidRPr="001870E6">
        <w:rPr>
          <w:rFonts w:ascii="Times New Roman" w:eastAsia="Arial" w:hAnsi="Times New Roman" w:cs="Times New Roman"/>
          <w:b/>
          <w:sz w:val="24"/>
          <w:szCs w:val="24"/>
          <w:u w:val="single"/>
        </w:rPr>
        <w:t>b)</w:t>
      </w:r>
      <w:r w:rsidRPr="001870E6">
        <w:rPr>
          <w:rFonts w:ascii="Times New Roman" w:eastAsia="Arial" w:hAnsi="Times New Roman" w:cs="Times New Roman"/>
          <w:sz w:val="24"/>
          <w:szCs w:val="24"/>
          <w:u w:val="single"/>
        </w:rPr>
        <w:t xml:space="preserve"> Certifíquese y Comuníquese para los demás efectos legales consiguientes……………….....................................</w:t>
      </w:r>
      <w:r>
        <w:rPr>
          <w:rFonts w:ascii="Times New Roman" w:eastAsia="Arial" w:hAnsi="Times New Roman" w:cs="Times New Roman"/>
          <w:sz w:val="24"/>
          <w:szCs w:val="24"/>
          <w:u w:val="single"/>
        </w:rPr>
        <w:t>................................................................</w:t>
      </w:r>
    </w:p>
    <w:p w:rsidR="005B30A4" w:rsidRDefault="005B30A4" w:rsidP="005B30A4">
      <w:pPr>
        <w:spacing w:after="0" w:line="240" w:lineRule="auto"/>
        <w:jc w:val="both"/>
        <w:rPr>
          <w:rFonts w:ascii="Times New Roman" w:eastAsia="Arial" w:hAnsi="Times New Roman" w:cs="Times New Roman"/>
          <w:b/>
          <w:sz w:val="24"/>
          <w:szCs w:val="24"/>
          <w:u w:val="single"/>
        </w:rPr>
      </w:pP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DECRETO NÚMERO 04/2021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EL CONCEJO MUNICIPAL DE SAN LUIS LA HERRADURA, DEPARTAMENTO DE LA PAZ,</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CONSIDERANDO: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I.-     Que el artículo 203 de la Constitución de la República expresa que los Municipios son autónomos en lo económico, en lo técnico y en lo administrativo, y se regirán por un Código Municipal, que sentará los principios generales para su organización, funcionamiento y ejercicio de sus facultades autónomas.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II.-    Que el artículo 204 de la Constitución expresa que la autonomía del municipio comprende el gestionar libremente en las materias de su competencia, decretar las ordenanzas y reglamentos locales; y el artículo 206 expresa que los Planes de Desarrollo Local deben ser aprobados por el Concejo Municipal y que las autoridades del Estado deberán colaborar con la municipalidad en el desarrollo de los mismos.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III.-   Que el artículo 4, numeral 1°, del Código Municipal expresa que es competencia de los municipios la elaboración, aprobación y ejecución de los planes de desarrollo local, y el numeral 27 expresa que es competencia de los municipios la autorización y fiscalización de parcelaciones, lotificaciones, urbanizaciones y demás obras particulares, cuando en el municipio exista el instrumento de planificación y la capacidad técnica instalada para tal fin.</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IV.-  Que es necesario para el ordenamiento y gestión del territorio contar con instrumentos técnicos, jurídicos y financieros apropiados para que el municipio logre un desarrollo sustentable y sostenible.</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V.-   Que este instrumento jurídico pretende compatibilizar la regulación de urbanizaciones, parcelaciones y construcciones, y la protección de los recursos ambientales con el desarrollo económico del territorio ya que se requiere de parte de los inversionistas o propietarios de proyectos a desarrollar en el Municipio de retribuciones como una forma de compensar el impacto que este soporta.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sz w:val="24"/>
          <w:szCs w:val="24"/>
        </w:rPr>
        <w:t>POR TANTO,</w:t>
      </w:r>
      <w:r w:rsidRPr="00344803">
        <w:rPr>
          <w:rFonts w:ascii="Times New Roman" w:eastAsia="Times New Roman" w:hAnsi="Times New Roman" w:cs="Times New Roman"/>
          <w:sz w:val="24"/>
          <w:szCs w:val="24"/>
        </w:rPr>
        <w:t xml:space="preserve"> en uso de sus facultades constitucionales y legales, DECRETA la siguiente:</w:t>
      </w:r>
    </w:p>
    <w:p w:rsidR="005B30A4" w:rsidRPr="00344803" w:rsidRDefault="005B30A4" w:rsidP="005B30A4">
      <w:pPr>
        <w:spacing w:after="0" w:line="240" w:lineRule="auto"/>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lastRenderedPageBreak/>
        <w:t> </w:t>
      </w:r>
      <w:r w:rsidRPr="00344803">
        <w:rPr>
          <w:rFonts w:ascii="Times New Roman" w:eastAsia="Times New Roman" w:hAnsi="Times New Roman" w:cs="Times New Roman"/>
          <w:b/>
          <w:bCs/>
          <w:sz w:val="24"/>
          <w:szCs w:val="24"/>
        </w:rPr>
        <w:t>ORDENANZA PARA EL DESARROLLO, ORDENAMIENTO Y GESTIÓN DEL TERRITORIO, MUNICIPIO DE SANLUIS LA HERRADURA.</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TÍTULO 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DISPOSICIONES GENERALES</w:t>
      </w:r>
    </w:p>
    <w:p w:rsidR="005B30A4" w:rsidRPr="00344803" w:rsidRDefault="005B30A4" w:rsidP="005B30A4">
      <w:pPr>
        <w:rPr>
          <w:rFonts w:ascii="Times New Roman" w:eastAsia="Times New Roman" w:hAnsi="Times New Roman" w:cs="Times New Roman"/>
          <w:sz w:val="24"/>
          <w:szCs w:val="24"/>
        </w:rPr>
      </w:pP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ÚNICO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Objeto de la Ordenanza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 </w:t>
      </w:r>
      <w:r w:rsidRPr="00344803">
        <w:rPr>
          <w:rFonts w:ascii="Times New Roman" w:eastAsia="Times New Roman" w:hAnsi="Times New Roman" w:cs="Times New Roman"/>
          <w:sz w:val="24"/>
          <w:szCs w:val="24"/>
        </w:rPr>
        <w:t>La presente Ordenanza tiene por objeto establecer los instrumentos de planificación y gestión del territorio en estricto cumplimiento al “Plan de Desarrollo Territorial de la Región La Paz”; regular el uso del territorio y las actuaciones urbanísticas en los ámbitos urbano y rural, con el fin de conservar los recursos naturales y del patrimonio cultural; establecer los procedimientos a seguir y los requisitos a cumplir por los proyectos de urbanización, parcelación y construcción ubicados en este Municipio; establecer las infracciones y sanciones a que se sujetarán las personas naturales o jurídicas que ejecuten cualquier actividad en contravención a la presente Ordenanza.</w:t>
      </w:r>
    </w:p>
    <w:p w:rsidR="005B30A4" w:rsidRPr="00344803" w:rsidRDefault="005B30A4" w:rsidP="005B30A4">
      <w:pPr>
        <w:rPr>
          <w:rFonts w:ascii="Times New Roman" w:eastAsia="Times New Roman" w:hAnsi="Times New Roman" w:cs="Times New Roman"/>
          <w:b/>
          <w:sz w:val="24"/>
          <w:szCs w:val="24"/>
        </w:rPr>
      </w:pPr>
      <w:r w:rsidRPr="00344803">
        <w:rPr>
          <w:rFonts w:ascii="Times New Roman" w:eastAsia="Times New Roman" w:hAnsi="Times New Roman" w:cs="Times New Roman"/>
          <w:b/>
          <w:sz w:val="24"/>
          <w:szCs w:val="24"/>
        </w:rPr>
        <w:t xml:space="preserve">Unidad de Planificación, Gestión y Ordenamiento Territorial </w:t>
      </w:r>
    </w:p>
    <w:p w:rsidR="005B30A4" w:rsidRPr="00344803" w:rsidRDefault="005B30A4" w:rsidP="005B30A4">
      <w:pPr>
        <w:spacing w:before="12" w:line="258" w:lineRule="auto"/>
        <w:ind w:right="89" w:firstLine="382"/>
        <w:jc w:val="both"/>
        <w:rPr>
          <w:rFonts w:ascii="Times New Roman" w:eastAsia="Times New Roman" w:hAnsi="Times New Roman" w:cs="Times New Roman"/>
          <w:sz w:val="24"/>
          <w:szCs w:val="24"/>
        </w:rPr>
      </w:pPr>
      <w:r w:rsidRPr="00344803">
        <w:rPr>
          <w:rFonts w:ascii="Times New Roman" w:eastAsia="Times New Roman" w:hAnsi="Times New Roman" w:cs="Times New Roman"/>
          <w:b/>
          <w:sz w:val="24"/>
          <w:szCs w:val="24"/>
        </w:rPr>
        <w:t>Art. 2.-</w:t>
      </w:r>
      <w:r w:rsidRPr="00344803">
        <w:rPr>
          <w:rFonts w:ascii="Times New Roman" w:eastAsia="Times New Roman" w:hAnsi="Times New Roman" w:cs="Times New Roman"/>
          <w:sz w:val="24"/>
          <w:szCs w:val="24"/>
        </w:rPr>
        <w:t xml:space="preserve"> La Entidad encargada de vigilar el cumplimiento de la presente Ordenanza es el Concejo Municipal a través de la Unidad de Planificación, Gestión y Ordenamiento Territorial del Municipio de San Luis la Herradura, que se abreviara UPGOT, quien es la responsable del tema territorial.  Para su funcionamiento La UPGOT cobrará por los servicios que preste según se detalle en el TÍTULO VIII.</w:t>
      </w:r>
    </w:p>
    <w:p w:rsidR="005B30A4" w:rsidRPr="00344803" w:rsidRDefault="005B30A4" w:rsidP="005B30A4">
      <w:pPr>
        <w:spacing w:before="29" w:line="270" w:lineRule="auto"/>
        <w:ind w:right="158" w:firstLine="374"/>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Créase la Unidad de Planificación, Gestión y Ordenamiento Territorial, que se denominará en la presente Ordenanza con las siglas UPGOT, es una entidad eminentemente técnica de planificación, gestión territorial, control del suelo, de trámites de requisitos previos y emisión de dictámenes técnicos de urbanización, parcelación y construcción.</w:t>
      </w:r>
    </w:p>
    <w:p w:rsidR="005B30A4" w:rsidRPr="00344803" w:rsidRDefault="005B30A4" w:rsidP="005B30A4">
      <w:pPr>
        <w:spacing w:before="5" w:line="267" w:lineRule="auto"/>
        <w:ind w:right="109" w:firstLine="382"/>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La UPGOT podrá hacer inspecciones a todo tipo de obras que se desarrollen en el municipio, los constructores o propietarios de la obra, quienes no podrán impedir la labor de inspección, debiendo facilitar el acceso a la documentación señalada en esta Ordenanza.</w:t>
      </w:r>
    </w:p>
    <w:p w:rsidR="005B30A4" w:rsidRPr="00344803" w:rsidRDefault="005B30A4" w:rsidP="005B30A4">
      <w:pPr>
        <w:spacing w:before="8"/>
        <w:ind w:firstLine="382"/>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La UPGOT, estará conformada por un o una Arquitecto y/o un o una Ingeniero civil, un o una Abogado, un o una Receptora, el Jefe de Catastro, y un o una asistente; sin embargo y considerando la especialidad y experiencia de los profesionales, estos también se podrán contratar por servicios profesionales de acuerdo a las necesidades y disponibilidad presupuestaria.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Alcaldía Municipal</w:t>
      </w:r>
    </w:p>
    <w:p w:rsidR="005B30A4" w:rsidRPr="00344803" w:rsidRDefault="005B30A4" w:rsidP="005B30A4">
      <w:pPr>
        <w:spacing w:line="270" w:lineRule="auto"/>
        <w:ind w:left="115" w:right="123" w:firstLine="374"/>
        <w:jc w:val="both"/>
        <w:rPr>
          <w:rFonts w:ascii="Times New Roman" w:eastAsia="Arial" w:hAnsi="Times New Roman" w:cs="Times New Roman"/>
          <w:sz w:val="24"/>
          <w:szCs w:val="24"/>
        </w:rPr>
      </w:pPr>
      <w:r w:rsidRPr="00344803">
        <w:rPr>
          <w:rFonts w:ascii="Times New Roman" w:eastAsia="Times New Roman" w:hAnsi="Times New Roman" w:cs="Times New Roman"/>
          <w:b/>
          <w:bCs/>
          <w:sz w:val="24"/>
          <w:szCs w:val="24"/>
        </w:rPr>
        <w:t xml:space="preserve">Art. 3.- </w:t>
      </w:r>
      <w:r w:rsidRPr="00344803">
        <w:rPr>
          <w:rFonts w:ascii="Times New Roman" w:eastAsia="Times New Roman" w:hAnsi="Times New Roman" w:cs="Times New Roman"/>
          <w:sz w:val="24"/>
          <w:szCs w:val="24"/>
        </w:rPr>
        <w:t>La Alcaldía Municipal, otorgará los permisos de urbanización, parcelación y/o de construcción que se desarrollen en este municipio una vez el proyecto obtenga el Dictamen Técnico favorable emitido por la UPGOT y el propietario del mismo haya realizado el pago de las tasas correspondiente.</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Alcances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4.- </w:t>
      </w:r>
      <w:r w:rsidRPr="00344803">
        <w:rPr>
          <w:rFonts w:ascii="Times New Roman" w:eastAsia="Times New Roman" w:hAnsi="Times New Roman" w:cs="Times New Roman"/>
          <w:sz w:val="24"/>
          <w:szCs w:val="24"/>
        </w:rPr>
        <w:t>La presente Ordenanza se aplicará a las personas naturales o jurídicas, públicas o privadas que realicen actuaciones relacionadas con la planificación, gestión y ejecución de obras de urbanización, parcelación, construcción o transformación física del suelo dentro del municipio.</w:t>
      </w:r>
    </w:p>
    <w:p w:rsidR="005B30A4" w:rsidRPr="00344803" w:rsidRDefault="005B30A4" w:rsidP="005B30A4">
      <w:pPr>
        <w:spacing w:after="0" w:line="240" w:lineRule="auto"/>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TÍTULO II</w:t>
      </w:r>
    </w:p>
    <w:p w:rsidR="005B30A4" w:rsidRPr="00344803" w:rsidRDefault="005B30A4" w:rsidP="005B30A4">
      <w:pPr>
        <w:spacing w:after="0" w:line="240" w:lineRule="auto"/>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INSTRUMENTOS DE PLANIFICACIÓN Y GESTIÓN</w:t>
      </w:r>
    </w:p>
    <w:p w:rsidR="005B30A4" w:rsidRPr="00344803" w:rsidRDefault="005B30A4" w:rsidP="005B30A4">
      <w:pPr>
        <w:spacing w:after="0" w:line="240" w:lineRule="auto"/>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spacing w:after="0" w:line="240" w:lineRule="auto"/>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w:t>
      </w:r>
    </w:p>
    <w:p w:rsidR="005B30A4" w:rsidRPr="00344803" w:rsidRDefault="005B30A4" w:rsidP="005B30A4">
      <w:pPr>
        <w:spacing w:after="0" w:line="240" w:lineRule="auto"/>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DEL PLAN DE DESARROLLO TERRITORIAL DE LA REGIÓN LA PAZ</w:t>
      </w:r>
    </w:p>
    <w:p w:rsidR="005B30A4" w:rsidRPr="00344803" w:rsidRDefault="005B30A4" w:rsidP="005B30A4">
      <w:pPr>
        <w:spacing w:after="0" w:line="240" w:lineRule="auto"/>
        <w:rPr>
          <w:rFonts w:ascii="Times New Roman" w:eastAsia="Times New Roman" w:hAnsi="Times New Roman" w:cs="Times New Roman"/>
          <w:sz w:val="24"/>
          <w:szCs w:val="24"/>
        </w:rPr>
      </w:pP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 de Desarrollo Territorial La Paz</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5.- </w:t>
      </w:r>
      <w:r w:rsidRPr="00344803">
        <w:rPr>
          <w:rFonts w:ascii="Times New Roman" w:eastAsia="Times New Roman" w:hAnsi="Times New Roman" w:cs="Times New Roman"/>
          <w:sz w:val="24"/>
          <w:szCs w:val="24"/>
        </w:rPr>
        <w:t xml:space="preserve">El Plan de Desarrollo Territorial de la Región La Paz que se denominará en la presente Ordenanza con las siglas </w:t>
      </w:r>
      <w:r w:rsidRPr="00344803">
        <w:rPr>
          <w:rFonts w:ascii="Times New Roman" w:eastAsia="Times New Roman" w:hAnsi="Times New Roman" w:cs="Times New Roman"/>
          <w:b/>
          <w:bCs/>
          <w:sz w:val="24"/>
          <w:szCs w:val="24"/>
        </w:rPr>
        <w:t>PDT La Paz</w:t>
      </w:r>
      <w:r w:rsidRPr="00344803">
        <w:rPr>
          <w:rFonts w:ascii="Times New Roman" w:eastAsia="Times New Roman" w:hAnsi="Times New Roman" w:cs="Times New Roman"/>
          <w:sz w:val="24"/>
          <w:szCs w:val="24"/>
        </w:rPr>
        <w:t>, aprobado por el Concejo Municipal de esta jurisdicción como un instrumento de Planificación que orienta el desarrollo regional y local; y comprende los siguientes: a. El Plan de Desarrollo Urbano, b. El Esquema de Desarrollo Urbano, c. Mapas de zonificación de San Luis Herradura, d. Planes Parciales de sectores específicos en suelo urbano e urbanizable, e. Planes Especiales para la conservación de los recursos naturales o del patrimonio cultural, f. Sistema de Ciudad Costera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El PDT La Paz, establece las áreas de intervención especial por su patrimonio arqueológico y las no urbanizables en atención a su valor ecológico, ambiental y riesgos, así como las zonas de reserva marina, diferenciándolas según las causas porque deban preservarse y normar las actividades que puedan autorizarse en cada una de éstas.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Mapa Normativo de Zonificación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6.- </w:t>
      </w:r>
      <w:r w:rsidRPr="00344803">
        <w:rPr>
          <w:rFonts w:ascii="Times New Roman" w:eastAsia="Times New Roman" w:hAnsi="Times New Roman" w:cs="Times New Roman"/>
          <w:sz w:val="24"/>
          <w:szCs w:val="24"/>
        </w:rPr>
        <w:t>El PDT La Paz, como instrumento de actuación y regulación del suelo, establece un Mapa Normativo de Zonificación de San Luis La Herradura, que forma parte de esta Ordenanza y puede ser consultado en la UPGOT, ver anexo 1.</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Zonificación de Usos del Suelo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7</w:t>
      </w:r>
      <w:r w:rsidRPr="00344803">
        <w:rPr>
          <w:rFonts w:ascii="Times New Roman" w:eastAsia="Times New Roman" w:hAnsi="Times New Roman" w:cs="Times New Roman"/>
          <w:sz w:val="24"/>
          <w:szCs w:val="24"/>
        </w:rPr>
        <w:t>.- La zonificación del Mapa Normativo establece la categoría de usos del suelo siguiente: a. Suelo Urbano, b. Suelo Urbanizable, c. Suelo No Urbanizable, d. Suelo Rural.</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LOS PLANES DE DESARROLLO URBANO</w:t>
      </w:r>
    </w:p>
    <w:p w:rsidR="005B30A4" w:rsidRPr="00344803" w:rsidRDefault="005B30A4" w:rsidP="005B30A4">
      <w:pPr>
        <w:spacing w:after="0"/>
        <w:jc w:val="center"/>
        <w:rPr>
          <w:rFonts w:ascii="Times New Roman" w:eastAsia="Times New Roman" w:hAnsi="Times New Roman" w:cs="Times New Roman"/>
          <w:sz w:val="24"/>
          <w:szCs w:val="24"/>
        </w:rPr>
      </w:pP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 de Desarrollo Urbano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 </w:t>
      </w:r>
      <w:r w:rsidRPr="00344803">
        <w:rPr>
          <w:rFonts w:ascii="Times New Roman" w:eastAsia="Times New Roman" w:hAnsi="Times New Roman" w:cs="Times New Roman"/>
          <w:sz w:val="24"/>
          <w:szCs w:val="24"/>
        </w:rPr>
        <w:t>El Plan de Desarrollo Urbano es un instrumento de planificación y gestión urbana que integra las propuestas de desarrollo territorial a escala regional con la escala local. Que regula el territorio a través de directrices y disposiciones normativas técnicas y legales y con una matriz de compatibilidad de usos del suelo.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Categorías de Usos del Suelo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 xml:space="preserve">Art. 9.- </w:t>
      </w:r>
      <w:r w:rsidRPr="00344803">
        <w:rPr>
          <w:rFonts w:ascii="Times New Roman" w:eastAsia="Times New Roman" w:hAnsi="Times New Roman" w:cs="Times New Roman"/>
          <w:sz w:val="24"/>
          <w:szCs w:val="24"/>
        </w:rPr>
        <w:t>La zonificación a escala municipal establece la categoría de usos del suelo siguiente: a. Suelo Urbano, b. Suelo Urbanizable, c. Suelo No Urbanizable, d. Suelo Rural.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Mapa Normativo de Usos, Función y Equipamiento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10.- </w:t>
      </w:r>
      <w:r w:rsidRPr="00344803">
        <w:rPr>
          <w:rFonts w:ascii="Times New Roman" w:eastAsia="Times New Roman" w:hAnsi="Times New Roman" w:cs="Times New Roman"/>
          <w:sz w:val="24"/>
          <w:szCs w:val="24"/>
        </w:rPr>
        <w:t>El Plan de Desarrollo Urbano, como instrumento de planificación y gestión del suelo, establece un mapa Normativo de los Usos, Función y Equipamiento a escala municipal y que forman parte de esta Ordenanza. Los mapas y sus respectivos estudios técnicos pueden ser consultados en la UPGOT que es la oficina técnica responsable de la planificación urbanística y gestión territorial de este municipio.</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LOS ESQUEMAS URBANOS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Esquema de Desarrollo Urbano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11.- </w:t>
      </w:r>
      <w:r w:rsidRPr="00344803">
        <w:rPr>
          <w:rFonts w:ascii="Times New Roman" w:eastAsia="Times New Roman" w:hAnsi="Times New Roman" w:cs="Times New Roman"/>
          <w:sz w:val="24"/>
          <w:szCs w:val="24"/>
        </w:rPr>
        <w:t>El Esquema de Desarrollo Urbano es un instrumento de planificación que contiene una definición básica de planificación para los centros urbanos de los municipios con menor dinámica de urbanización, que orienta la expansión y consolidación de los núcleos urbanos.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Contenido del Esquema de Desarrollo Urbano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12.- </w:t>
      </w:r>
      <w:r w:rsidRPr="00344803">
        <w:rPr>
          <w:rFonts w:ascii="Times New Roman" w:eastAsia="Times New Roman" w:hAnsi="Times New Roman" w:cs="Times New Roman"/>
          <w:sz w:val="24"/>
          <w:szCs w:val="24"/>
        </w:rPr>
        <w:t>El contenido de los Esquemas de Desarrollo Urbano es el siguiente:</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Delimitación del perímetro urbano, que tendrá la consideración de zona urbana consolidada, permitiendo una extensión limitada del mismo,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Delimitación del Centro Histórico,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     Delimitación de las áreas protegidas por norma o planes de ámbito superior,</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     Localización de la red viaria urbana básica,</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     Localización de la infraestructura y equipamientos de interés urbano al servicio de los núcleos.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Mapa de Zonificación Urbana</w:t>
      </w:r>
    </w:p>
    <w:p w:rsidR="005B30A4"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13.- </w:t>
      </w:r>
      <w:r w:rsidRPr="00344803">
        <w:rPr>
          <w:rFonts w:ascii="Times New Roman" w:eastAsia="Times New Roman" w:hAnsi="Times New Roman" w:cs="Times New Roman"/>
          <w:sz w:val="24"/>
          <w:szCs w:val="24"/>
        </w:rPr>
        <w:t>El mapa de Zonificación Urbana propuesta a escala de núcleo urbano municipal establece la categoría de zonificación siguiente: a. Comercio y servicios, b. Equipamiento urbano, c. Suelo urbano consolidado, d. Suelo urbanizable de uso residencial, e. Suelo no urbanizable.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p>
    <w:p w:rsidR="005B30A4" w:rsidRPr="00344803" w:rsidRDefault="005B30A4" w:rsidP="005B30A4">
      <w:pPr>
        <w:spacing w:after="0" w:line="240" w:lineRule="auto"/>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IV</w:t>
      </w:r>
    </w:p>
    <w:p w:rsidR="005B30A4" w:rsidRPr="00344803" w:rsidRDefault="005B30A4" w:rsidP="005B30A4">
      <w:pPr>
        <w:spacing w:after="0" w:line="240" w:lineRule="auto"/>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LOS PLANES PARCIALES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Planes Parciales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14.- </w:t>
      </w:r>
      <w:r w:rsidRPr="00344803">
        <w:rPr>
          <w:rFonts w:ascii="Times New Roman" w:eastAsia="Times New Roman" w:hAnsi="Times New Roman" w:cs="Times New Roman"/>
          <w:sz w:val="24"/>
          <w:szCs w:val="24"/>
        </w:rPr>
        <w:t>Los Planes Parciales son de ámbito municipal y tienen por objeto detallar la zonificación mediante la ordenación detallada y completa de una porción de suelo ya sea éste de un polígono o un bloque. Detallan el contenido de los Planes Urbanos de Desarrollo Territorial.  Los Planes Parciales se pueden desarrollar en suelo: a) Urbano, b) Urbanizable.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lastRenderedPageBreak/>
        <w:t xml:space="preserve">La </w:t>
      </w:r>
      <w:r w:rsidRPr="00344803">
        <w:rPr>
          <w:rFonts w:ascii="Times New Roman" w:eastAsia="Times New Roman" w:hAnsi="Times New Roman" w:cs="Times New Roman"/>
          <w:bCs/>
          <w:sz w:val="24"/>
          <w:szCs w:val="24"/>
        </w:rPr>
        <w:t>UPGOT</w:t>
      </w:r>
      <w:r w:rsidRPr="00344803">
        <w:rPr>
          <w:rFonts w:ascii="Times New Roman" w:eastAsia="Times New Roman" w:hAnsi="Times New Roman" w:cs="Times New Roman"/>
          <w:sz w:val="24"/>
          <w:szCs w:val="24"/>
        </w:rPr>
        <w:t>, podrá solicitarle al propietario del proyecto o desarrollista un plan parcial cuando considere que el proyecto de urbanización, parcelación o construcción a desarrollarse, tendrá una alta incidencia en el municipio, ya sea por la dimensión física del proyecto o por la topología especial de éste.</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Planes Parciales en Suelo Urbano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15.- </w:t>
      </w:r>
      <w:r w:rsidRPr="00344803">
        <w:rPr>
          <w:rFonts w:ascii="Times New Roman" w:eastAsia="Times New Roman" w:hAnsi="Times New Roman" w:cs="Times New Roman"/>
          <w:sz w:val="24"/>
          <w:szCs w:val="24"/>
        </w:rPr>
        <w:t>Los planes parciales en suelo urbano. Son conocidos como Planes Parciales de Mejora Urbana, representan el instrumento de ordenación adecuado para la recuperación de áreas degradadas de pueblos o ciudades, puesta en valor de centros históricos y mejora urbana de las condiciones de vida de la población.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Para tales fines, se clasifican en 2 tipos:</w:t>
      </w:r>
    </w:p>
    <w:p w:rsidR="005B30A4" w:rsidRPr="00344803" w:rsidRDefault="005B30A4" w:rsidP="005B30A4">
      <w:pPr>
        <w:pStyle w:val="Prrafodelista"/>
        <w:numPr>
          <w:ilvl w:val="0"/>
          <w:numId w:val="45"/>
        </w:numPr>
        <w:spacing w:before="120" w:after="200" w:line="240" w:lineRule="atLeast"/>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Planes de Rehabilitación de Centros Históricos</w:t>
      </w:r>
    </w:p>
    <w:p w:rsidR="005B30A4" w:rsidRPr="00344803" w:rsidRDefault="005B30A4" w:rsidP="005B30A4">
      <w:pPr>
        <w:pStyle w:val="Prrafodelista"/>
        <w:numPr>
          <w:ilvl w:val="0"/>
          <w:numId w:val="45"/>
        </w:numPr>
        <w:spacing w:before="120" w:after="200" w:line="240" w:lineRule="atLeast"/>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Planes de Renovación Urbana.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En los Planes de Renovación Urbana se reconocen los siguientes sub-tipos:</w:t>
      </w:r>
    </w:p>
    <w:p w:rsidR="005B30A4" w:rsidRPr="00344803" w:rsidRDefault="005B30A4" w:rsidP="005B30A4">
      <w:pPr>
        <w:pStyle w:val="Prrafodelista"/>
        <w:numPr>
          <w:ilvl w:val="0"/>
          <w:numId w:val="43"/>
        </w:numPr>
        <w:spacing w:before="120" w:after="200" w:line="240" w:lineRule="atLeast"/>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Planes de Renovación Urbana de Densificación.</w:t>
      </w:r>
    </w:p>
    <w:p w:rsidR="005B30A4" w:rsidRPr="00344803" w:rsidRDefault="005B30A4" w:rsidP="005B30A4">
      <w:pPr>
        <w:pStyle w:val="Prrafodelista"/>
        <w:numPr>
          <w:ilvl w:val="0"/>
          <w:numId w:val="43"/>
        </w:numPr>
        <w:spacing w:before="120" w:after="200" w:line="240" w:lineRule="atLeast"/>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Planes de Mejoramiento de Barrios.</w:t>
      </w:r>
    </w:p>
    <w:p w:rsidR="005B30A4" w:rsidRPr="00344803" w:rsidRDefault="005B30A4" w:rsidP="005B30A4">
      <w:pPr>
        <w:pStyle w:val="Prrafodelista"/>
        <w:numPr>
          <w:ilvl w:val="0"/>
          <w:numId w:val="43"/>
        </w:numPr>
        <w:spacing w:before="120" w:after="200" w:line="240" w:lineRule="atLeast"/>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Planes de Intervención en Espacio Público e Infraestructura.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Planes Parciales de Rehabilitación de Centros Históricos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16.- </w:t>
      </w:r>
      <w:r w:rsidRPr="00344803">
        <w:rPr>
          <w:rFonts w:ascii="Times New Roman" w:eastAsia="Times New Roman" w:hAnsi="Times New Roman" w:cs="Times New Roman"/>
          <w:sz w:val="24"/>
          <w:szCs w:val="24"/>
        </w:rPr>
        <w:t>Los planes parciales de rehabilitación de centros históricos, son planes a través de los cuales se han de regular, en aplicación de la normativa sectorial o específica correspondiente, los usos y las transformaciones urbanísticas en el ámbito del plan. El ámbito de estos planes será el que se determine por el Plan de Desarrollo Territorial de La Paz, el que se establezca en aplicación o desarrollo de legislación específica, o el que justificadamente se determine por el propio plan.</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Planes Parciales de Renovación Urbana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17.- </w:t>
      </w:r>
      <w:r w:rsidRPr="00344803">
        <w:rPr>
          <w:rFonts w:ascii="Times New Roman" w:eastAsia="Times New Roman" w:hAnsi="Times New Roman" w:cs="Times New Roman"/>
          <w:sz w:val="24"/>
          <w:szCs w:val="24"/>
        </w:rPr>
        <w:t>Los planes parciales de renovación urbana, son planes a través de los cuales se han de ordenar las actuaciones de reforma, rehabilitación o renovación urbana que fuesen necesarias para mejorar la calidad de vida de la población y la funcionalidad urbanística de determinados ámbitos de la ciudad. El ámbito de estos planes será el que se establezca por el Plan de Desarrollo Territorial, o el que justificadamente se determine por el propio plan de renovación a partir de la extensión y localización de los tejidos urbanos a reformar, de acuerdo a criterios de oportunidad y conveniencia en orden a favorecer la viabilidad de la operación. Dentro de su ámbito estos planes habrán de resolver el ordenamiento detallado de usos, equipamientos e infraestructuras. El índice global de edificabilidad no podrá superar 1 m2/1 m2, sobre la superficie total del ámbito del plan. El índice de ocupación será el 60% del área total de la parcela.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Planes Parciales de Densificación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18.- </w:t>
      </w:r>
      <w:r w:rsidRPr="00344803">
        <w:rPr>
          <w:rFonts w:ascii="Times New Roman" w:eastAsia="Times New Roman" w:hAnsi="Times New Roman" w:cs="Times New Roman"/>
          <w:sz w:val="24"/>
          <w:szCs w:val="24"/>
        </w:rPr>
        <w:t>Los planes parciales de renovación urbana de densificación, son planes dirigidos a aumentar la densidad o consolidar una zona, incluyendo las edificaciones en altura, en algunos sectores de la ciudad, que se consideren convenientes para concentrar población en torno a zonas consolidadas y con adecuados servicios o dotaciones básicas.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lastRenderedPageBreak/>
        <w:t>Están previstos también en suelos urbanos no consolidados, carentes de ordenamiento detallado de usos y de los equipamientos e infraestructuras urbanísticas. Estos planes podrán formularse para los ámbitos que justificadamente se establezcan. A través de los mismos se resolverá el ordenamiento detallado de usos, infraestructuras y equipamientos urbanísticos. La nueva edificabilidad a ordenar no podrá ser inferior a una relación 2.50 m2/m2, sobre la superficie total del ámbito del plan. El índice de ocupación será el 70% del área total de la parcela.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Planes Parciales de Mejoramiento de Barrios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19.- </w:t>
      </w:r>
      <w:r w:rsidRPr="00344803">
        <w:rPr>
          <w:rFonts w:ascii="Times New Roman" w:eastAsia="Times New Roman" w:hAnsi="Times New Roman" w:cs="Times New Roman"/>
          <w:sz w:val="24"/>
          <w:szCs w:val="24"/>
        </w:rPr>
        <w:t>Los planes parciales de renovación urbana para el mejoramiento de barrios, son planes dirigidos a mejorar las condiciones de la calidad de vida de la población de algunos barrios o sectores de la ciudad, con adecuaciones de vivienda, infraestructura y/o servicios básicos. Estos planes se pueden desarrollar también para zonas no consolidadas ocupadas por parcelaciones escasamente habitadas, que requieren consolidación u ordenamiento detallado de su estructura urbana. La nueva edificabilidad a ordenar no podrá ser inferior a una relación de 2.00 m2/m2 sobre la superficie total del ámbito del plan. El índice de ocupación será el 80% del área total de la parcela.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Planes Parciales en Espacios Públicos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20.- </w:t>
      </w:r>
      <w:r w:rsidRPr="00344803">
        <w:rPr>
          <w:rFonts w:ascii="Times New Roman" w:eastAsia="Times New Roman" w:hAnsi="Times New Roman" w:cs="Times New Roman"/>
          <w:sz w:val="24"/>
          <w:szCs w:val="24"/>
        </w:rPr>
        <w:t>Los planes parciales de renovación urbana de intervención en espacios públicos e infraestructura, son planes a través de los cuales se ha de resolver la integración y funcionalidad urbanística de las infraestructuras o espacios públicos en cuestión. El ámbito y la edificabilidad de estos planes será el que justificadamente se establezca.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Planes Parciales en Suelo Urbanizables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21.- </w:t>
      </w:r>
      <w:r w:rsidRPr="00344803">
        <w:rPr>
          <w:rFonts w:ascii="Times New Roman" w:eastAsia="Times New Roman" w:hAnsi="Times New Roman" w:cs="Times New Roman"/>
          <w:sz w:val="24"/>
          <w:szCs w:val="24"/>
        </w:rPr>
        <w:t>Los Planes parciales en suelo urbanizable quedarán delimitados por el Mapa Normativo de los Usos, Función y Equipamiento del PDT La Paz. Para tales fines, se clasifican en 5 tipos: 1. Planes de Uso Residencial. Destinados a cubrir las necesidades de habitación, recreación y dotaciones básicas de la población. 2. Planes de Uso Comercio-servicios-oficinas. Destinados a cubrir las necesidades productivas. 3. Planes de Uso Industrial. 4. Planes de Uso Logístico. 5. Planes de Uso Turístico.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Se utilizarán las disposiciones contenidas en el PDT La Paz, para las especificaciones y contenidos del Plan Parcial en suelo urbanizable, que se le solicite al propietario o desarrollista del proyecto.</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V</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LOS PLANES ESPECIALES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Planes Especiales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22.- </w:t>
      </w:r>
      <w:r w:rsidRPr="00344803">
        <w:rPr>
          <w:rFonts w:ascii="Times New Roman" w:eastAsia="Times New Roman" w:hAnsi="Times New Roman" w:cs="Times New Roman"/>
          <w:sz w:val="24"/>
          <w:szCs w:val="24"/>
        </w:rPr>
        <w:t>Se podrán formular Planes Especiales con la finalidad de proteger, mejorar y conservar el paisaje natural del medio urbano y rural; para desarrollar zonas de protección y del sistema de espacios libres y reservas naturales y/o históricas y culturales; y para ordenar ámbitos arquitectónicos, históricos y culturales.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El Plan de Desarrollo Territorial establece una propuesta para el patrimonio cultural, en los diferentes centros históricos, que deben preservarse por su valor cultural, arquitectónico y de tradición, donde deben formularse planes especiales.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w:t>
      </w:r>
      <w:r w:rsidRPr="00344803">
        <w:rPr>
          <w:rFonts w:ascii="Times New Roman" w:eastAsia="Times New Roman" w:hAnsi="Times New Roman" w:cs="Times New Roman"/>
          <w:b/>
          <w:bCs/>
          <w:sz w:val="24"/>
          <w:szCs w:val="24"/>
        </w:rPr>
        <w:t>Plan especial de Conservación al Patrimonio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 xml:space="preserve">Art. 23.- </w:t>
      </w:r>
      <w:r w:rsidRPr="00344803">
        <w:rPr>
          <w:rFonts w:ascii="Times New Roman" w:eastAsia="Times New Roman" w:hAnsi="Times New Roman" w:cs="Times New Roman"/>
          <w:sz w:val="24"/>
          <w:szCs w:val="24"/>
        </w:rPr>
        <w:t>Los Planes Especiales de protección para la conservación y valoración del patrimonio histórico y artístico, y bellezas naturales, identificará los elementos naturales y urbanos que caracteriza la zona de estudio; plazas, calles, y edificios de interés cultural; construcciones con valor cultural que deban ser objeto de medidas especiales de protección; y uso y destino de edificaciones antiguas y modernas.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El Plan Especial, podrá contener normas especiales para la conservación, restauración y mejora de las edificaciones o conjuntos urbanos y de los elementos o espacios naturales, indicando las limitaciones incompatibles con su carácter. En la tramitación de dichos Planes y normas especiales se requerirá la aprobación del Ministerio de Cultura.</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VI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FORMULACIÓN, APROBACIÓN Y CONTENIDO DE LOS PLANES PARCIALES</w:t>
      </w:r>
    </w:p>
    <w:p w:rsidR="005B30A4" w:rsidRDefault="005B30A4" w:rsidP="005B30A4">
      <w:pPr>
        <w:rPr>
          <w:rFonts w:ascii="Times New Roman" w:eastAsia="Times New Roman" w:hAnsi="Times New Roman" w:cs="Times New Roman"/>
          <w:b/>
          <w:bCs/>
          <w:sz w:val="24"/>
          <w:szCs w:val="24"/>
        </w:rPr>
      </w:pP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Formulación de Planes Parciales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24.- </w:t>
      </w:r>
      <w:r w:rsidRPr="00344803">
        <w:rPr>
          <w:rFonts w:ascii="Times New Roman" w:eastAsia="Times New Roman" w:hAnsi="Times New Roman" w:cs="Times New Roman"/>
          <w:sz w:val="24"/>
          <w:szCs w:val="24"/>
        </w:rPr>
        <w:t>Se deberán formular planes parciales en las áreas de suelo urbano y urbanizable, que estén establecidos en el Mapa Normativo de los Usos, Función y Equipamiento del Municipio, los que podrán ser formulados por el municipio a través de la UPGOT, o personas de derecho público o privado, a través de profesionales idóneos.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Cuando la intervención sea en un inmueble de menos del 25% del área total sujeta a un plan parcial en suelo urbanizable, se podrá obviar este requerimiento debiendo establecer únicamente el trazado y características de la red vial propia del bloque, polígono o cuadrante y de su enlace con el sistema de vías de circulación regional, municipal y local. La UPGOT podrá exigir determinaciones adicionales a lo aquí establecido con la finalidad de realizar las reservas de terreno para áreas verdes y equipamiento social.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Supervisión y Aprobación de los Planes Parciales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25.- </w:t>
      </w:r>
      <w:r w:rsidRPr="00344803">
        <w:rPr>
          <w:rFonts w:ascii="Times New Roman" w:eastAsia="Times New Roman" w:hAnsi="Times New Roman" w:cs="Times New Roman"/>
          <w:sz w:val="24"/>
          <w:szCs w:val="24"/>
        </w:rPr>
        <w:t xml:space="preserve">Los planes parciales se formularán bajo la supervisión de la UPGOT, será el Concejo Municipal de este Municipio quien dará </w:t>
      </w:r>
      <w:r w:rsidRPr="00344803">
        <w:rPr>
          <w:rFonts w:ascii="Times New Roman" w:eastAsia="Times New Roman" w:hAnsi="Times New Roman" w:cs="Times New Roman"/>
          <w:b/>
          <w:bCs/>
          <w:sz w:val="24"/>
          <w:szCs w:val="24"/>
        </w:rPr>
        <w:t xml:space="preserve">la aprobación </w:t>
      </w:r>
      <w:r w:rsidRPr="00344803">
        <w:rPr>
          <w:rFonts w:ascii="Times New Roman" w:eastAsia="Times New Roman" w:hAnsi="Times New Roman" w:cs="Times New Roman"/>
          <w:sz w:val="24"/>
          <w:szCs w:val="24"/>
        </w:rPr>
        <w:t>a través de un acuerdo municipal basándose en un informe técnico elaborado por UPGOT.</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Contenidos del Plan Parcial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26.- </w:t>
      </w:r>
      <w:r w:rsidRPr="00344803">
        <w:rPr>
          <w:rFonts w:ascii="Times New Roman" w:eastAsia="Times New Roman" w:hAnsi="Times New Roman" w:cs="Times New Roman"/>
          <w:sz w:val="24"/>
          <w:szCs w:val="24"/>
        </w:rPr>
        <w:t>Los Planes Parciales contendrán las siguientes determinaciones: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Delimitación del área de planeamiento, abarcando un bloque, un polígono o un determinado cuadrante.</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Asignación de usos pormenorizados y delimitación de los mismos,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     Señalamiento de reservas de terreno para áreas verdes y equipamiento social, atendiendo los estándares establecidos,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    Trazado y características de la red vial propia del bloque, polígono o cuadrante y de su enlace con el sistema de vías de circulaciónmunicipal y local,</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lastRenderedPageBreak/>
        <w:t>e)    Trazado y características de las redes de abastecimiento de agua potable, alcantarillado, energía eléctrica y de aquellos otros servicios que en su caso, prevea el Plan Parcial,</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f)     Plan de etapas para la ejecución de las obras de urbanización y de las edificaciones,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g)    La dimensión Ambiental.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Red vial del plan parcial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27.- </w:t>
      </w:r>
      <w:r w:rsidRPr="00344803">
        <w:rPr>
          <w:rFonts w:ascii="Times New Roman" w:eastAsia="Times New Roman" w:hAnsi="Times New Roman" w:cs="Times New Roman"/>
          <w:sz w:val="24"/>
          <w:szCs w:val="24"/>
        </w:rPr>
        <w:t>El Plan Parcial determinará el trazado y características de la Red Vial del sector y su conexión con las vías de circulación regional, municipal y local existente y prevista. Se determinarán las alineaciones de la red vial, de la normativa técnica de accesibilidad, de la movilidad peatonal segura, definiéndose su trazado en planta y rasantes definidos.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Densidades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28.- </w:t>
      </w:r>
      <w:r w:rsidRPr="00344803">
        <w:rPr>
          <w:rFonts w:ascii="Times New Roman" w:eastAsia="Times New Roman" w:hAnsi="Times New Roman" w:cs="Times New Roman"/>
          <w:sz w:val="24"/>
          <w:szCs w:val="24"/>
        </w:rPr>
        <w:t>El Plan Parcial establecerá las densidades habitacionales del área de planeamiento según las características urbanísticas y ambientales de la localidad.</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Clasificación del uso del suelo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29.- </w:t>
      </w:r>
      <w:r w:rsidRPr="00344803">
        <w:rPr>
          <w:rFonts w:ascii="Times New Roman" w:eastAsia="Times New Roman" w:hAnsi="Times New Roman" w:cs="Times New Roman"/>
          <w:sz w:val="24"/>
          <w:szCs w:val="24"/>
        </w:rPr>
        <w:t>La Clasificación del suelo en zonas según los usos predominantes se harán para la totalidad de los terrenos incluidos en el Plan Parcial, pudiendo corresponder a cada zona más de un uso de suelo siempre que estos usos sean compatibles. Si establece para su ejecución la división de su territorio en bloques, habrá de expresarse con toda precisión, la delimitación de los mismos, así como el sistema de actuación que a cada uno corresponda.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30.- </w:t>
      </w:r>
      <w:r w:rsidRPr="00344803">
        <w:rPr>
          <w:rFonts w:ascii="Times New Roman" w:eastAsia="Times New Roman" w:hAnsi="Times New Roman" w:cs="Times New Roman"/>
          <w:sz w:val="24"/>
          <w:szCs w:val="24"/>
        </w:rPr>
        <w:t>Se expresarán en el Plan Parcial el destino público o privado de los terrenos que resulten edificables, de los que se destinen a equipamientos y de los correspondientes a espacios libres, así como de los usos de las edificaciones e instalaciones previstas en estos últimos.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Espacios libres y equipamiento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31.- </w:t>
      </w:r>
      <w:r w:rsidRPr="00344803">
        <w:rPr>
          <w:rFonts w:ascii="Times New Roman" w:eastAsia="Times New Roman" w:hAnsi="Times New Roman" w:cs="Times New Roman"/>
          <w:sz w:val="24"/>
          <w:szCs w:val="24"/>
        </w:rPr>
        <w:t>Las reservas de suelo que se prevean para espacios libres y equipamiento social, de dominio y uso público, se realizarán en proporción al número y rango de la población prevista para su ámbito territorial y se establecerá considerando la red vial existente y proyectada, garantizando su accesibilidad e integración en la estructura urbanística del Plan.</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Documentos de los planes parciales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32.- </w:t>
      </w:r>
      <w:r w:rsidRPr="00344803">
        <w:rPr>
          <w:rFonts w:ascii="Times New Roman" w:eastAsia="Times New Roman" w:hAnsi="Times New Roman" w:cs="Times New Roman"/>
          <w:sz w:val="24"/>
          <w:szCs w:val="24"/>
        </w:rPr>
        <w:t>Las determinaciones de los Planes parciales se desarrollarán en los siguientes documentos: a) Memoria Justificativa, b) Planos de información, c) Planos de Proyectos, d) Normas técnicas, e) Evaluación de impactos territoriales, f) Programa de actuación, g) Unidades de actuación.</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Memoria Justificativa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33.- </w:t>
      </w:r>
      <w:r w:rsidRPr="00344803">
        <w:rPr>
          <w:rFonts w:ascii="Times New Roman" w:eastAsia="Times New Roman" w:hAnsi="Times New Roman" w:cs="Times New Roman"/>
          <w:sz w:val="24"/>
          <w:szCs w:val="24"/>
        </w:rPr>
        <w:t xml:space="preserve">Deberá de justificar la relación entre el Plan de Desarrollo Territorial y la propuesta a presentar. Y deberá contener lo siguiente: a) Justificación del Plan parcial, b) Información urbanística, que incluye: características naturales del territorio, usos de </w:t>
      </w:r>
      <w:r w:rsidRPr="00344803">
        <w:rPr>
          <w:rFonts w:ascii="Times New Roman" w:eastAsia="Times New Roman" w:hAnsi="Times New Roman" w:cs="Times New Roman"/>
          <w:sz w:val="24"/>
          <w:szCs w:val="24"/>
        </w:rPr>
        <w:lastRenderedPageBreak/>
        <w:t>suelo existentes y estructura de la propiedad. c) Objetivos y criterios. d) Propuesta de zonificación de usos de forma integrada con la trama urbana colindante y como una unidad funcional.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Planos de información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34.- </w:t>
      </w:r>
      <w:r w:rsidRPr="00344803">
        <w:rPr>
          <w:rFonts w:ascii="Times New Roman" w:eastAsia="Times New Roman" w:hAnsi="Times New Roman" w:cs="Times New Roman"/>
          <w:sz w:val="24"/>
          <w:szCs w:val="24"/>
        </w:rPr>
        <w:t>Los planos deberán contener la siguiente información cartográfica en coherencia con la información contenida en la Memoria Justificativa, y deberá ser entregada en formato digital Arc: a) Plano de usos de suelo actuales. b) Plano de estructura vial existente. c) Plano topográfico. d) Plano de vegetación existente. e) Plano de estructura de la propiedad.</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Planos de proyectos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35.- </w:t>
      </w:r>
      <w:r w:rsidRPr="00344803">
        <w:rPr>
          <w:rFonts w:ascii="Times New Roman" w:eastAsia="Times New Roman" w:hAnsi="Times New Roman" w:cs="Times New Roman"/>
          <w:sz w:val="24"/>
          <w:szCs w:val="24"/>
        </w:rPr>
        <w:t>Los planos deberán contener la siguiente información cartográfica, en coherencia con la información contenida en la Memoria Justificativa y deberá ser entregada en formato digital Arc: a) Zonificación de usos de suelos propuesta, de acuerdo a criterios de clasificación proporcionados por el Ministerio de Vivienda. b) Propuesta de red vial de acuerdo a la jerarquía, de acuerdo a criterios de clasificación proporcionados por el PDT La Paz y el Ministerio de Vivienda. c) Planos de detalles.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Normas técnicas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36.- </w:t>
      </w:r>
      <w:r w:rsidRPr="00344803">
        <w:rPr>
          <w:rFonts w:ascii="Times New Roman" w:eastAsia="Times New Roman" w:hAnsi="Times New Roman" w:cs="Times New Roman"/>
          <w:sz w:val="24"/>
          <w:szCs w:val="24"/>
        </w:rPr>
        <w:t>Normas técnicas que regulen las disposiciones del Plan Parcial y deberán desarrollar en detalle, las determinaciones generales de los Planes de Desarrollo Territorial de escala Regional, contenidas en las fichas de los planes parciales conteniendo: a) Densidades, b) Usos del suelo, c) Altura de las edificaciones, d) Red vial, e) Manejo de aguas lluvias, f) Manejo de infraestructura de servicios, g) Cesión de suelo para equipamiento regional.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Plan de Etapas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37.- </w:t>
      </w:r>
      <w:r w:rsidRPr="00344803">
        <w:rPr>
          <w:rFonts w:ascii="Times New Roman" w:eastAsia="Times New Roman" w:hAnsi="Times New Roman" w:cs="Times New Roman"/>
          <w:sz w:val="24"/>
          <w:szCs w:val="24"/>
        </w:rPr>
        <w:t>El plan de etapas deberá establecer el orden de ejecución la cual debe prever las dotaciones de equipamiento y servicios necesarias a cada una de las etapas.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Evaluación de impactos territoriales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38.- </w:t>
      </w:r>
      <w:r w:rsidRPr="00344803">
        <w:rPr>
          <w:rFonts w:ascii="Times New Roman" w:eastAsia="Times New Roman" w:hAnsi="Times New Roman" w:cs="Times New Roman"/>
          <w:sz w:val="24"/>
          <w:szCs w:val="24"/>
        </w:rPr>
        <w:t>La evaluación de impactos territoriales deberá evaluar los principales impactos de la propuesta del Plan, las medidas de compensación como contribución de las distintas unidades de actuación para desarrollar el Plan. Las variables a evaluar son: a) Impactos al transporte e infraestructura vial; b) Impactos al sistema de aguas superficiales y de drenajes; c) Impacto urbanístico; d) Impactos ambientales.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Programa de actuación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39.- </w:t>
      </w:r>
      <w:r w:rsidRPr="00344803">
        <w:rPr>
          <w:rFonts w:ascii="Times New Roman" w:eastAsia="Times New Roman" w:hAnsi="Times New Roman" w:cs="Times New Roman"/>
          <w:sz w:val="24"/>
          <w:szCs w:val="24"/>
        </w:rPr>
        <w:t>El programa de actuación deberá definir la ejecución por fases de las unidades de actuación del Plan Parcial o área definida en el instrumento normativo integral de clasificación del suelo. Y contendrá las estrategias de desarrollo, plazo de ejecución e instrumentos de gestión del emprendimiento.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Unidades de actuación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40.- </w:t>
      </w:r>
      <w:r w:rsidRPr="00344803">
        <w:rPr>
          <w:rFonts w:ascii="Times New Roman" w:eastAsia="Times New Roman" w:hAnsi="Times New Roman" w:cs="Times New Roman"/>
          <w:sz w:val="24"/>
          <w:szCs w:val="24"/>
        </w:rPr>
        <w:t>Las Unidades de actuación deberán identificarse una o varias unidades de actuación y desarrollarse de manera detallada en el Plan Parcial y en coherencia a la propuesta general de la zona de intervención.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lastRenderedPageBreak/>
        <w:t>Las unidades de actuación son partes de la totalidad de un determinado Plan Parcial o área definida en el mapa normativo integral de clasificación del suelo a fin de facilitar el proceso de transformación urbanística.</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VII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LA APROBACIÓN, VIGENCIA Y REVISIÓN DEL PLAN DE DESARROLLO TERRITORIAL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Aprobación del Plan de Desarrollo Territorial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41.- </w:t>
      </w:r>
      <w:r w:rsidRPr="00344803">
        <w:rPr>
          <w:rFonts w:ascii="Times New Roman" w:eastAsia="Times New Roman" w:hAnsi="Times New Roman" w:cs="Times New Roman"/>
          <w:sz w:val="24"/>
          <w:szCs w:val="24"/>
        </w:rPr>
        <w:t>La UPGOT, elaborará un documento conteniendo las políticas urbanas, de vivienda, de espacios públicos y de movilidad del plan para su presentación al Concejo Municipal, una vez aprobadas la UPGOT, realizará los ajustes y/o actualización necesaria.</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VIII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LOS INSTRUMENTOS DE GESTIÓN</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Mecanismo para habilitar la Infraestructura y Equipamientos Urbanos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42.- </w:t>
      </w:r>
      <w:r w:rsidRPr="00344803">
        <w:rPr>
          <w:rFonts w:ascii="Times New Roman" w:eastAsia="Times New Roman" w:hAnsi="Times New Roman" w:cs="Times New Roman"/>
          <w:sz w:val="24"/>
          <w:szCs w:val="24"/>
        </w:rPr>
        <w:t>El Concejo Municipal podrá establecer acuerdos, acciones y orientaciones con actores públicos y privados para habilitar la infraestructura urbana y equipamientos necesarios para dotar a los suelos rurales que el Concejo Municipal ha establecido como urbanizables, con el objeto de desarrollar el territorio de manera sostenible y competitiva, y cumplir con lo establecido en los Planes de Desarrollo, Ordenamiento y Gestión del Territorio.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Contribución Especial Municipal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43.- </w:t>
      </w:r>
      <w:r w:rsidRPr="00344803">
        <w:rPr>
          <w:rFonts w:ascii="Times New Roman" w:eastAsia="Times New Roman" w:hAnsi="Times New Roman" w:cs="Times New Roman"/>
          <w:sz w:val="24"/>
          <w:szCs w:val="24"/>
        </w:rPr>
        <w:t>La municipalidad podrá realizar obras de infraestructura vial o de servicios públicos o de los proyectos establecidos en el Banco de Proyectos del Plan, las que podrá recuperar su inversión total o parcial, a través de una contribución especial Municipal que se le cobrará a los propietarios de inmuebles comprendidos dentro de una unidad de actuación, según se establece en la Ley General Tributaria Municipal.</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TÍTULO III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CLASIFICACIÓN DEL SUELO Y DEL MEDIO AMBIENTE</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LA CLASIFICACIÓN DEL SUELO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Clasificación del Suelo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44.- </w:t>
      </w:r>
      <w:r w:rsidRPr="00344803">
        <w:rPr>
          <w:rFonts w:ascii="Times New Roman" w:eastAsia="Times New Roman" w:hAnsi="Times New Roman" w:cs="Times New Roman"/>
          <w:sz w:val="24"/>
          <w:szCs w:val="24"/>
        </w:rPr>
        <w:t>Las categorías de los suelos en el ámbito regional son: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 Suelo Urbano, b) Suelo Urbanizable, c) Suelo No Urbanizable, d) Suelo Rural.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Cuando las diferentes clases de suelo descritas en el primer inciso del presente artículo, constituyan zonas representativas en el municipio deberán indicarse en los mapas de uso del suelo del municipio, con el objeto de reglamentar las actuaciones de transformación del suelo y la dotación de equipamiento e infraestructura que deberán cumplir los asentamientos.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Suelo Urbano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45.- </w:t>
      </w:r>
      <w:r w:rsidRPr="00344803">
        <w:rPr>
          <w:rFonts w:ascii="Times New Roman" w:eastAsia="Times New Roman" w:hAnsi="Times New Roman" w:cs="Times New Roman"/>
          <w:sz w:val="24"/>
          <w:szCs w:val="24"/>
        </w:rPr>
        <w:t>El Suelo Urbano, está constituido por terrenos consolidados o no por la edificación, y que cuentan con servicios de agua potable, aguas negras, aguas lluvias y energía eléctrica, propios de los núcleos urbanos o que careciendo de alguno de estos servicios, tengan su ordenación consolidada en su mayor parte ocupada por la edificación. Los suelos urbanos se dividirán en las siguientes sub-categorías: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1</w:t>
      </w:r>
      <w:r w:rsidRPr="00344803">
        <w:rPr>
          <w:rFonts w:ascii="Times New Roman" w:eastAsia="Times New Roman" w:hAnsi="Times New Roman" w:cs="Times New Roman"/>
          <w:sz w:val="24"/>
          <w:szCs w:val="24"/>
        </w:rPr>
        <w:t xml:space="preserve">)    </w:t>
      </w:r>
      <w:r w:rsidRPr="00344803">
        <w:rPr>
          <w:rFonts w:ascii="Times New Roman" w:eastAsia="Times New Roman" w:hAnsi="Times New Roman" w:cs="Times New Roman"/>
          <w:b/>
          <w:bCs/>
          <w:sz w:val="24"/>
          <w:szCs w:val="24"/>
        </w:rPr>
        <w:t xml:space="preserve">Suelo urbano consolidado: </w:t>
      </w:r>
      <w:r w:rsidRPr="00344803">
        <w:rPr>
          <w:rFonts w:ascii="Times New Roman" w:eastAsia="Times New Roman" w:hAnsi="Times New Roman" w:cs="Times New Roman"/>
          <w:sz w:val="24"/>
          <w:szCs w:val="24"/>
        </w:rPr>
        <w:t>Tendrán esta naturaleza las zonas urbanas que cuenten con infraestructuras y servicios de vialidad, alumbrado, abastecimiento de aguas, evacuación de aguas lluvias y saneamiento con características suficientes para servir al conjunto de la zona.</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2)    Suelo urbano no consolidado</w:t>
      </w:r>
      <w:r w:rsidRPr="00344803">
        <w:rPr>
          <w:rFonts w:ascii="Times New Roman" w:eastAsia="Times New Roman" w:hAnsi="Times New Roman" w:cs="Times New Roman"/>
          <w:sz w:val="24"/>
          <w:szCs w:val="24"/>
        </w:rPr>
        <w:t>: Tendrán esta naturaleza las que cuenten con edificación cuando, a pesar de no disponer de las infraestructuras y servicios a que se refiere el epígrafe anterior, los usos residenciales, industriales y de servicios sean claramente dominantes en el ámbito considerado, con un porcentaje de superficie edificada superior al 50 por ciento.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Suelo Urbanizable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46</w:t>
      </w:r>
      <w:r w:rsidRPr="00344803">
        <w:rPr>
          <w:rFonts w:ascii="Times New Roman" w:eastAsia="Times New Roman" w:hAnsi="Times New Roman" w:cs="Times New Roman"/>
          <w:sz w:val="24"/>
          <w:szCs w:val="24"/>
        </w:rPr>
        <w:t>.- El Suelo Urbanizable, comprende las áreas que el PDT La Paz, ha identificado como susceptibles y apropiadas para su transformación urbanística, en atención a las necesidades de desarrollo urbano de la población, aptitud constructiva de los suelos, de los valores y recursos naturales del territorio y de los riesgos ambientales.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1.     Suelos urbanizables para usos urbanos-habitacionales. </w:t>
      </w:r>
      <w:r w:rsidRPr="00344803">
        <w:rPr>
          <w:rFonts w:ascii="Times New Roman" w:eastAsia="Times New Roman" w:hAnsi="Times New Roman" w:cs="Times New Roman"/>
          <w:sz w:val="24"/>
          <w:szCs w:val="24"/>
        </w:rPr>
        <w:t>Incluye todas las funciones urbanas de carácter habitacional, de densidad alta, media y baja.</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2.     Suelos Urbanizables para actividades económicas. </w:t>
      </w:r>
      <w:r w:rsidRPr="00344803">
        <w:rPr>
          <w:rFonts w:ascii="Times New Roman" w:eastAsia="Times New Roman" w:hAnsi="Times New Roman" w:cs="Times New Roman"/>
          <w:sz w:val="24"/>
          <w:szCs w:val="24"/>
        </w:rPr>
        <w:t>Incluye todas las funciones de carácter industrial, logístico, comercio-servicio- oficinas y turísticos.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Suelo No Urbanizable</w:t>
      </w:r>
    </w:p>
    <w:p w:rsidR="005B30A4" w:rsidRPr="002849B2" w:rsidRDefault="005B30A4" w:rsidP="005B30A4">
      <w:pPr>
        <w:spacing w:before="120" w:line="240" w:lineRule="atLeast"/>
        <w:ind w:firstLine="360"/>
        <w:jc w:val="both"/>
        <w:rPr>
          <w:rFonts w:ascii="Times New Roman" w:eastAsia="Times New Roman" w:hAnsi="Times New Roman" w:cs="Times New Roman"/>
          <w:sz w:val="23"/>
          <w:szCs w:val="23"/>
        </w:rPr>
      </w:pPr>
      <w:r w:rsidRPr="002849B2">
        <w:rPr>
          <w:rFonts w:ascii="Times New Roman" w:eastAsia="Times New Roman" w:hAnsi="Times New Roman" w:cs="Times New Roman"/>
          <w:b/>
          <w:bCs/>
          <w:sz w:val="23"/>
          <w:szCs w:val="23"/>
        </w:rPr>
        <w:t>Art. 47</w:t>
      </w:r>
      <w:r w:rsidRPr="002849B2">
        <w:rPr>
          <w:rFonts w:ascii="Times New Roman" w:eastAsia="Times New Roman" w:hAnsi="Times New Roman" w:cs="Times New Roman"/>
          <w:sz w:val="23"/>
          <w:szCs w:val="23"/>
        </w:rPr>
        <w:t>.- El Suelo No Urbanizable, está constituido por aquellas áreas que se excluyen de posibles procesos de urbanización o transformación territorial en razón a la protección de los servicios ambientales que prestan y de sus valores naturales, productivos, culturales, de protección o reserva de infraestructuras, la existencia de limitaciones derivadas de la protección frente a riesgos naturales, o cualesquiera otras establecidas por la ley o, justificadamente, por los instrumentos de planificación urbano o territorial. Comprende las siguientes 3 sub categorías:</w:t>
      </w:r>
    </w:p>
    <w:p w:rsidR="005B30A4" w:rsidRPr="002849B2" w:rsidRDefault="005B30A4" w:rsidP="005B30A4">
      <w:pPr>
        <w:spacing w:before="120" w:line="240" w:lineRule="atLeast"/>
        <w:ind w:left="720" w:hanging="360"/>
        <w:jc w:val="both"/>
        <w:rPr>
          <w:rFonts w:ascii="Times New Roman" w:eastAsia="Times New Roman" w:hAnsi="Times New Roman" w:cs="Times New Roman"/>
          <w:sz w:val="23"/>
          <w:szCs w:val="23"/>
        </w:rPr>
      </w:pPr>
      <w:r w:rsidRPr="002849B2">
        <w:rPr>
          <w:rFonts w:ascii="Times New Roman" w:eastAsia="Times New Roman" w:hAnsi="Times New Roman" w:cs="Times New Roman"/>
          <w:sz w:val="23"/>
          <w:szCs w:val="23"/>
        </w:rPr>
        <w:t xml:space="preserve">1.     </w:t>
      </w:r>
      <w:r w:rsidRPr="002849B2">
        <w:rPr>
          <w:rFonts w:ascii="Times New Roman" w:eastAsia="Times New Roman" w:hAnsi="Times New Roman" w:cs="Times New Roman"/>
          <w:b/>
          <w:bCs/>
          <w:sz w:val="23"/>
          <w:szCs w:val="23"/>
        </w:rPr>
        <w:t xml:space="preserve">Suelos identificados como área natural protegida: </w:t>
      </w:r>
      <w:r w:rsidRPr="002849B2">
        <w:rPr>
          <w:rFonts w:ascii="Times New Roman" w:eastAsia="Times New Roman" w:hAnsi="Times New Roman" w:cs="Times New Roman"/>
          <w:sz w:val="23"/>
          <w:szCs w:val="23"/>
        </w:rPr>
        <w:t>Están constituidas por aquellas áreas identificadas por el Ministerio de Medio Ambiente y Recursos Naturales como parte del Sistema Nacional de Áreas Naturales Protegidas; así mismo, aquellas áreas que derivadas del análisis más detallado del Plan de Desarrollo Territorial se identifican como área natural a proteger, incluyéndose los bosques salados o manglares.</w:t>
      </w:r>
    </w:p>
    <w:p w:rsidR="005B30A4" w:rsidRPr="002849B2" w:rsidRDefault="005B30A4" w:rsidP="005B30A4">
      <w:pPr>
        <w:spacing w:before="120" w:line="240" w:lineRule="atLeast"/>
        <w:ind w:left="720" w:hanging="360"/>
        <w:jc w:val="both"/>
        <w:rPr>
          <w:rFonts w:ascii="Times New Roman" w:eastAsia="Times New Roman" w:hAnsi="Times New Roman" w:cs="Times New Roman"/>
          <w:sz w:val="23"/>
          <w:szCs w:val="23"/>
        </w:rPr>
      </w:pPr>
      <w:r w:rsidRPr="002849B2">
        <w:rPr>
          <w:rFonts w:ascii="Times New Roman" w:eastAsia="Times New Roman" w:hAnsi="Times New Roman" w:cs="Times New Roman"/>
          <w:sz w:val="23"/>
          <w:szCs w:val="23"/>
        </w:rPr>
        <w:t xml:space="preserve">2.     </w:t>
      </w:r>
      <w:r w:rsidRPr="002849B2">
        <w:rPr>
          <w:rFonts w:ascii="Times New Roman" w:eastAsia="Times New Roman" w:hAnsi="Times New Roman" w:cs="Times New Roman"/>
          <w:b/>
          <w:bCs/>
          <w:sz w:val="23"/>
          <w:szCs w:val="23"/>
        </w:rPr>
        <w:t xml:space="preserve">Suelos identificados como susceptibles a riesgos: </w:t>
      </w:r>
      <w:r w:rsidRPr="002849B2">
        <w:rPr>
          <w:rFonts w:ascii="Times New Roman" w:eastAsia="Times New Roman" w:hAnsi="Times New Roman" w:cs="Times New Roman"/>
          <w:sz w:val="23"/>
          <w:szCs w:val="23"/>
        </w:rPr>
        <w:t>Están constituidas por aquellas áreas identificadas por el Ministerio de Medio Ambiente y Recursos Naturales y los elaborados por las municipalidades como susceptibles a riesgo, así mismo, aquellas áreas que derivadas del análisis más detallado del Plan de escala subregional identificase como susceptible a riesgo.</w:t>
      </w:r>
    </w:p>
    <w:p w:rsidR="005B30A4" w:rsidRPr="002849B2" w:rsidRDefault="005B30A4" w:rsidP="005B30A4">
      <w:pPr>
        <w:spacing w:before="120" w:line="240" w:lineRule="atLeast"/>
        <w:ind w:left="720" w:hanging="360"/>
        <w:jc w:val="both"/>
        <w:rPr>
          <w:rFonts w:ascii="Times New Roman" w:eastAsia="Times New Roman" w:hAnsi="Times New Roman" w:cs="Times New Roman"/>
          <w:sz w:val="23"/>
          <w:szCs w:val="23"/>
        </w:rPr>
      </w:pPr>
      <w:r w:rsidRPr="002849B2">
        <w:rPr>
          <w:rFonts w:ascii="Times New Roman" w:eastAsia="Times New Roman" w:hAnsi="Times New Roman" w:cs="Times New Roman"/>
          <w:sz w:val="23"/>
          <w:szCs w:val="23"/>
        </w:rPr>
        <w:lastRenderedPageBreak/>
        <w:t xml:space="preserve">3.     </w:t>
      </w:r>
      <w:r w:rsidRPr="002849B2">
        <w:rPr>
          <w:rFonts w:ascii="Times New Roman" w:eastAsia="Times New Roman" w:hAnsi="Times New Roman" w:cs="Times New Roman"/>
          <w:b/>
          <w:bCs/>
          <w:sz w:val="23"/>
          <w:szCs w:val="23"/>
        </w:rPr>
        <w:t xml:space="preserve">Suelos de reserva para infraestructura de interés nacional y regional: </w:t>
      </w:r>
      <w:r w:rsidRPr="002849B2">
        <w:rPr>
          <w:rFonts w:ascii="Times New Roman" w:eastAsia="Times New Roman" w:hAnsi="Times New Roman" w:cs="Times New Roman"/>
          <w:sz w:val="23"/>
          <w:szCs w:val="23"/>
        </w:rPr>
        <w:t>Están constituidos por aquellos suelos identificados dentro de la planificación nacional o regional, en los cuáles se han de ubicar a corto, mediano o largo plazo, infraestructuras de interés nacional o regional, tales como: rellenos sanitarios, plantas de tratamiento, ampliaciones y aperturas de red vial prioritaria, aeropuertos y puertos.</w:t>
      </w:r>
    </w:p>
    <w:p w:rsidR="005B30A4" w:rsidRPr="002849B2" w:rsidRDefault="005B30A4" w:rsidP="005B30A4">
      <w:pPr>
        <w:rPr>
          <w:rFonts w:ascii="Times New Roman" w:eastAsia="Times New Roman" w:hAnsi="Times New Roman" w:cs="Times New Roman"/>
          <w:sz w:val="23"/>
          <w:szCs w:val="23"/>
        </w:rPr>
      </w:pPr>
      <w:r w:rsidRPr="002849B2">
        <w:rPr>
          <w:rFonts w:ascii="Times New Roman" w:eastAsia="Times New Roman" w:hAnsi="Times New Roman" w:cs="Times New Roman"/>
          <w:b/>
          <w:bCs/>
          <w:sz w:val="23"/>
          <w:szCs w:val="23"/>
        </w:rPr>
        <w:t>Suelo Rural</w:t>
      </w:r>
    </w:p>
    <w:p w:rsidR="005B30A4" w:rsidRPr="002849B2" w:rsidRDefault="005B30A4" w:rsidP="005B30A4">
      <w:pPr>
        <w:spacing w:before="120" w:line="240" w:lineRule="atLeast"/>
        <w:ind w:firstLine="360"/>
        <w:jc w:val="both"/>
        <w:rPr>
          <w:rFonts w:ascii="Times New Roman" w:eastAsia="Times New Roman" w:hAnsi="Times New Roman" w:cs="Times New Roman"/>
          <w:sz w:val="23"/>
          <w:szCs w:val="23"/>
        </w:rPr>
      </w:pPr>
      <w:r w:rsidRPr="002849B2">
        <w:rPr>
          <w:rFonts w:ascii="Times New Roman" w:eastAsia="Times New Roman" w:hAnsi="Times New Roman" w:cs="Times New Roman"/>
          <w:b/>
          <w:bCs/>
          <w:sz w:val="23"/>
          <w:szCs w:val="23"/>
        </w:rPr>
        <w:t xml:space="preserve">Art. 48.- </w:t>
      </w:r>
      <w:r w:rsidRPr="002849B2">
        <w:rPr>
          <w:rFonts w:ascii="Times New Roman" w:eastAsia="Times New Roman" w:hAnsi="Times New Roman" w:cs="Times New Roman"/>
          <w:sz w:val="23"/>
          <w:szCs w:val="23"/>
        </w:rPr>
        <w:t>El Suelo Rural, comprende los terrenos en los cuales no resulta conveniente o necesaria su transformación urbanística a mediano plazo en razón a su potencial agropecuario.</w:t>
      </w:r>
    </w:p>
    <w:p w:rsidR="005B30A4" w:rsidRPr="002849B2" w:rsidRDefault="005B30A4" w:rsidP="005B30A4">
      <w:pPr>
        <w:spacing w:before="120" w:line="240" w:lineRule="atLeast"/>
        <w:ind w:firstLine="360"/>
        <w:jc w:val="both"/>
        <w:rPr>
          <w:rFonts w:ascii="Times New Roman" w:eastAsia="Times New Roman" w:hAnsi="Times New Roman" w:cs="Times New Roman"/>
          <w:sz w:val="23"/>
          <w:szCs w:val="23"/>
        </w:rPr>
      </w:pPr>
      <w:r w:rsidRPr="002849B2">
        <w:rPr>
          <w:rFonts w:ascii="Times New Roman" w:eastAsia="Times New Roman" w:hAnsi="Times New Roman" w:cs="Times New Roman"/>
          <w:sz w:val="23"/>
          <w:szCs w:val="23"/>
        </w:rPr>
        <w:t>Comprende las siguientes 3 sub categorías:</w:t>
      </w:r>
    </w:p>
    <w:p w:rsidR="005B30A4" w:rsidRPr="002849B2" w:rsidRDefault="005B30A4" w:rsidP="005B30A4">
      <w:pPr>
        <w:spacing w:before="120" w:line="240" w:lineRule="atLeast"/>
        <w:ind w:left="720" w:hanging="360"/>
        <w:jc w:val="both"/>
        <w:rPr>
          <w:rFonts w:ascii="Times New Roman" w:eastAsia="Times New Roman" w:hAnsi="Times New Roman" w:cs="Times New Roman"/>
          <w:sz w:val="23"/>
          <w:szCs w:val="23"/>
        </w:rPr>
      </w:pPr>
      <w:r w:rsidRPr="002849B2">
        <w:rPr>
          <w:rFonts w:ascii="Times New Roman" w:eastAsia="Times New Roman" w:hAnsi="Times New Roman" w:cs="Times New Roman"/>
          <w:b/>
          <w:bCs/>
          <w:sz w:val="23"/>
          <w:szCs w:val="23"/>
        </w:rPr>
        <w:t xml:space="preserve">1.     Suelos con aptitud forestal. </w:t>
      </w:r>
      <w:r w:rsidRPr="002849B2">
        <w:rPr>
          <w:rFonts w:ascii="Times New Roman" w:eastAsia="Times New Roman" w:hAnsi="Times New Roman" w:cs="Times New Roman"/>
          <w:sz w:val="23"/>
          <w:szCs w:val="23"/>
        </w:rPr>
        <w:t>Comprenden las áreas que el PDT La Paz clasifique de esta forma y se entienden por tales los suelos que presentan aptitud para el desarrollo de actividades forestales y silvícola, correspondiendo a las pendientes superiores al 45% o que aún presentando pendientes menores presenten dicha aptitud; así mismo, se excluyen las incluidas en el suelo no urbanizable. En atención a la conservación de sus valores silvícola y ambientales han de ser preservados en general frente a eventuales procesos de transformación urbanística del territorio.</w:t>
      </w:r>
    </w:p>
    <w:p w:rsidR="005B30A4" w:rsidRPr="002849B2" w:rsidRDefault="005B30A4" w:rsidP="005B30A4">
      <w:pPr>
        <w:spacing w:before="120" w:line="240" w:lineRule="atLeast"/>
        <w:ind w:left="720" w:hanging="360"/>
        <w:jc w:val="both"/>
        <w:rPr>
          <w:rFonts w:ascii="Times New Roman" w:eastAsia="Times New Roman" w:hAnsi="Times New Roman" w:cs="Times New Roman"/>
          <w:sz w:val="23"/>
          <w:szCs w:val="23"/>
        </w:rPr>
      </w:pPr>
      <w:r w:rsidRPr="002849B2">
        <w:rPr>
          <w:rFonts w:ascii="Times New Roman" w:eastAsia="Times New Roman" w:hAnsi="Times New Roman" w:cs="Times New Roman"/>
          <w:b/>
          <w:bCs/>
          <w:sz w:val="23"/>
          <w:szCs w:val="23"/>
        </w:rPr>
        <w:t xml:space="preserve">2.     Suelos con aptitud para la agricultura intensiva. </w:t>
      </w:r>
      <w:r w:rsidRPr="002849B2">
        <w:rPr>
          <w:rFonts w:ascii="Times New Roman" w:eastAsia="Times New Roman" w:hAnsi="Times New Roman" w:cs="Times New Roman"/>
          <w:sz w:val="23"/>
          <w:szCs w:val="23"/>
        </w:rPr>
        <w:t>Comprenden las áreas que PDT La Paz clasifique de esta forma, y se entiende por tales los suelos que presentan mayor productividad agrícola potencial, correspondiendo a las clases agrológicas II y III salvo las incluidas en el suelo no urbanizable.</w:t>
      </w:r>
    </w:p>
    <w:p w:rsidR="005B30A4" w:rsidRPr="002849B2" w:rsidRDefault="005B30A4" w:rsidP="005B30A4">
      <w:pPr>
        <w:spacing w:before="120" w:line="240" w:lineRule="atLeast"/>
        <w:ind w:left="720" w:hanging="360"/>
        <w:jc w:val="both"/>
        <w:rPr>
          <w:rFonts w:ascii="Times New Roman" w:eastAsia="Times New Roman" w:hAnsi="Times New Roman" w:cs="Times New Roman"/>
          <w:sz w:val="23"/>
          <w:szCs w:val="23"/>
        </w:rPr>
      </w:pPr>
      <w:r w:rsidRPr="002849B2">
        <w:rPr>
          <w:rFonts w:ascii="Times New Roman" w:eastAsia="Times New Roman" w:hAnsi="Times New Roman" w:cs="Times New Roman"/>
          <w:b/>
          <w:bCs/>
          <w:sz w:val="23"/>
          <w:szCs w:val="23"/>
        </w:rPr>
        <w:t xml:space="preserve">3.     Suelos para la agricultura extensiva. </w:t>
      </w:r>
      <w:r w:rsidRPr="002849B2">
        <w:rPr>
          <w:rFonts w:ascii="Times New Roman" w:eastAsia="Times New Roman" w:hAnsi="Times New Roman" w:cs="Times New Roman"/>
          <w:sz w:val="23"/>
          <w:szCs w:val="23"/>
        </w:rPr>
        <w:t>Comprenden las áreas que el PDT La Paz clasifique de esta forma y se entienden por tales los suelos rurales con aptitud para el desarrollo de actividades agropecuarias en régimen extensivo.</w:t>
      </w:r>
    </w:p>
    <w:p w:rsidR="005B30A4" w:rsidRDefault="005B30A4" w:rsidP="005B30A4">
      <w:pPr>
        <w:spacing w:after="0"/>
        <w:jc w:val="center"/>
        <w:rPr>
          <w:rFonts w:ascii="Times New Roman" w:eastAsia="Times New Roman" w:hAnsi="Times New Roman" w:cs="Times New Roman"/>
          <w:b/>
          <w:bCs/>
          <w:sz w:val="24"/>
          <w:szCs w:val="24"/>
        </w:rPr>
      </w:pPr>
    </w:p>
    <w:p w:rsidR="005B30A4" w:rsidRDefault="005B30A4" w:rsidP="005B30A4">
      <w:pPr>
        <w:spacing w:after="0"/>
        <w:jc w:val="center"/>
        <w:rPr>
          <w:rFonts w:ascii="Times New Roman" w:eastAsia="Times New Roman" w:hAnsi="Times New Roman" w:cs="Times New Roman"/>
          <w:b/>
          <w:bCs/>
          <w:sz w:val="24"/>
          <w:szCs w:val="24"/>
        </w:rPr>
      </w:pPr>
    </w:p>
    <w:p w:rsidR="005B30A4" w:rsidRDefault="005B30A4" w:rsidP="005B30A4">
      <w:pPr>
        <w:spacing w:after="0"/>
        <w:jc w:val="center"/>
        <w:rPr>
          <w:rFonts w:ascii="Times New Roman" w:eastAsia="Times New Roman" w:hAnsi="Times New Roman" w:cs="Times New Roman"/>
          <w:b/>
          <w:bCs/>
          <w:sz w:val="24"/>
          <w:szCs w:val="24"/>
        </w:rPr>
      </w:pP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LAS ZONAS DE PROTECCIÓN Y CONSERVACIÓN ESPECIAL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Zonas de Protección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49.- </w:t>
      </w:r>
      <w:r w:rsidRPr="00344803">
        <w:rPr>
          <w:rFonts w:ascii="Times New Roman" w:eastAsia="Times New Roman" w:hAnsi="Times New Roman" w:cs="Times New Roman"/>
          <w:sz w:val="24"/>
          <w:szCs w:val="24"/>
        </w:rPr>
        <w:t>Los suelos no urbanizables también incluyen aquellas porciones de terreno ubicadas al interior de cualquiera de las categorías de suelo en los cuales, se deberá excluir toda posibilidad de intervención, en razón a las características de protección de los recursos hídricos o de protección arqueológica y cultural que deben de protegerse por su valor patrimonial. Dentro de las zonas de protección se reconocerán dos tipos: a) Zona de Protección Arqueológica y cultural. b) Zona de Protección de los recursos hídricos.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Zona de Protección Arqueológica y cultural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50.- </w:t>
      </w:r>
      <w:r w:rsidRPr="00344803">
        <w:rPr>
          <w:rFonts w:ascii="Times New Roman" w:eastAsia="Times New Roman" w:hAnsi="Times New Roman" w:cs="Times New Roman"/>
          <w:sz w:val="24"/>
          <w:szCs w:val="24"/>
        </w:rPr>
        <w:t>Las zonas de protección arqueológica y cultural, son las identificadas por el PDT La Paz, y se complementan con la información proporcionada por el Ministerio de Cultura de El Salvador.</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Zona de Protección de los Recursos Hídricos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 xml:space="preserve">Art. 51.- </w:t>
      </w:r>
      <w:r w:rsidRPr="00344803">
        <w:rPr>
          <w:rFonts w:ascii="Times New Roman" w:eastAsia="Times New Roman" w:hAnsi="Times New Roman" w:cs="Times New Roman"/>
          <w:sz w:val="24"/>
          <w:szCs w:val="24"/>
        </w:rPr>
        <w:t>Las zonas de protección de los recursos hídricos, de acuerdo al tipo de recurso hídrico que protegen se dividen en 5 tipos: 1. Nacimientos de agua o manantiales; 2. Quebradas de invierno; 3. Ríos y quebradas caudalosas; 4. Lagos, lagunas, esteros y embalses artificiales; 5. Mar.</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Las zonas de protección antes enumeradas, podrán ser destinadas de manera adicional a los usos definidos como espacio público urbano, siempre y cuando se garanticen las obras de protección necesarias y no cause un riesgo o peligro a los alrededores. Si se encuentran forestadas se permitirá el mantenimiento forestal y de saneamiento ambiental; si se encuentran como zonas de recuperación y reforestación sólo se permitirán intervenciones compatibles con los ecosistemas, tales como reforestación y obras de protección.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Este tipo de intervenciones, no podrá contabilizarse de ninguna manera como parte de la zona verde reglamentaria o áreas de cesión para equipamiento regional; sin embargo, la normativa incentivará este tipo de adecuaciones a través del incremento en la intensidad del uso del suelo.</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TÍTULO IV</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LA ZONIFICACIÓN DE USOS DEL SUELO</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INSTRUMENTOS DE REGULACIÓN</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Instrumentos de Regulación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52</w:t>
      </w:r>
      <w:r w:rsidRPr="00344803">
        <w:rPr>
          <w:rFonts w:ascii="Times New Roman" w:eastAsia="Times New Roman" w:hAnsi="Times New Roman" w:cs="Times New Roman"/>
          <w:sz w:val="24"/>
          <w:szCs w:val="24"/>
        </w:rPr>
        <w:t>.- Los Instrumentos técnicos y de regulación de los usos del suelo que utilizará la UPGOT, además de la presente Ordenanza, son los siguientes: a. El Plan de Desarrollo Territorial de la Región La Paz, b. El Plan de Desarrollo Urbano o Esquema de Desarrollo Urbano, c. Mapa normativo de zonificación de SanLuis La Herradura, d. Matriz de Compatibilidad de Usos del Suelo, e. Ordenanzas y Acuerdos Municipales relacionados, e. Directrices ambientales de la franja costero marino.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LOS USOS DEL SUELO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Prioritarios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Art.- 53.- </w:t>
      </w:r>
      <w:r w:rsidRPr="00344803">
        <w:rPr>
          <w:rFonts w:ascii="Times New Roman" w:eastAsia="Times New Roman" w:hAnsi="Times New Roman" w:cs="Times New Roman"/>
          <w:sz w:val="24"/>
          <w:szCs w:val="24"/>
        </w:rPr>
        <w:t>Se determinan usos prioritarios en cada una de las zonas establecidas en el Plan de conformidad a las condiciones vocacionales del uso del suelo y limitantes ambientales, descritas a continuación: 1. Uso Habitacional, 2. Uso Institucional, 3. Uso Comercio, servicios y oficinas, 4. Uso Industrial, 5. Uso Logístico, 6. Uso Infraestructura, 7. Uso Turístico, 8. Uso Parque Urbano y Áreas Abiertas.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Matriz de Compatibilidad de Usos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54.- </w:t>
      </w:r>
      <w:r w:rsidRPr="00344803">
        <w:rPr>
          <w:rFonts w:ascii="Times New Roman" w:eastAsia="Times New Roman" w:hAnsi="Times New Roman" w:cs="Times New Roman"/>
          <w:sz w:val="24"/>
          <w:szCs w:val="24"/>
        </w:rPr>
        <w:t xml:space="preserve">La Matriz de Compatibilidad de Usos establece los usos de suelo permitidos, condicionados y prohibidos, y forma parte integral de esta Ordenanza, anexo 2.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Usos Permitidos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55.- </w:t>
      </w:r>
      <w:r w:rsidRPr="00344803">
        <w:rPr>
          <w:rFonts w:ascii="Times New Roman" w:eastAsia="Times New Roman" w:hAnsi="Times New Roman" w:cs="Times New Roman"/>
          <w:sz w:val="24"/>
          <w:szCs w:val="24"/>
        </w:rPr>
        <w:t xml:space="preserve">Los Usos Permitidos son aquellos que están indicados dentro del mapa normativo y en la Matriz de Compatibilidad de Usos.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Condicionados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56.- </w:t>
      </w:r>
      <w:r w:rsidRPr="00344803">
        <w:rPr>
          <w:rFonts w:ascii="Times New Roman" w:eastAsia="Times New Roman" w:hAnsi="Times New Roman" w:cs="Times New Roman"/>
          <w:sz w:val="24"/>
          <w:szCs w:val="24"/>
        </w:rPr>
        <w:t xml:space="preserve">Los Usos Condicionados son los que serán permitidos dentro de una zona específica, con condiciones de requerimiento especial. En todo caso deberán respetar y garantizar el buen funcionamiento de las diferentes actividades en la zona a implantarlo.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Prohibidos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57.- </w:t>
      </w:r>
      <w:r w:rsidRPr="00344803">
        <w:rPr>
          <w:rFonts w:ascii="Times New Roman" w:eastAsia="Times New Roman" w:hAnsi="Times New Roman" w:cs="Times New Roman"/>
          <w:sz w:val="24"/>
          <w:szCs w:val="24"/>
        </w:rPr>
        <w:t xml:space="preserve">Los Usos prohibidos son aquellos usos del suelo que por su incompatibilidad no podrán ubicarse en una zona determinada.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en Zona Habitacional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58.- </w:t>
      </w:r>
      <w:r w:rsidRPr="00344803">
        <w:rPr>
          <w:rFonts w:ascii="Times New Roman" w:eastAsia="Times New Roman" w:hAnsi="Times New Roman" w:cs="Times New Roman"/>
          <w:sz w:val="24"/>
          <w:szCs w:val="24"/>
        </w:rPr>
        <w:t>La zona Habitacional comprende actividades de uso residencial, dividida en:</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1.     Habitacional de Baja Densidad (&lt; 125 Hab/Ha)</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2.     Habitacional Media Densidad (de 125-250 Hab/Ha)</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3.     Habitacional de Alta Densidad (&gt;250 Hab/Ha)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usos permitidos serán: educación y salud. Los usos del suelo condicionados serán comercio, servicio y oficinas. Los usos prohibidos serán almacenamiento e industrias de todo tipo; centros de entretención como discotecas, barras show, y otros que impliquen ruidos estridentes que perturben la tranquilidad de la zona.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En la zona Habitacional se permitirá vivienda en altura con comercios y servicios en un primer nivel, pudiendo combinarse con vivienda unifamiliar.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en Zona Institucional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59.- </w:t>
      </w:r>
      <w:r w:rsidRPr="00344803">
        <w:rPr>
          <w:rFonts w:ascii="Times New Roman" w:eastAsia="Times New Roman" w:hAnsi="Times New Roman" w:cs="Times New Roman"/>
          <w:sz w:val="24"/>
          <w:szCs w:val="24"/>
        </w:rPr>
        <w:t>La zona Institucional comprende actividades de equipamiento con vocación de beneficio público destinado al servicio de la población.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Los usos permitidos serán: educación, salud, cultura y recreativo. Los usos prohibidos serán habitacional, de almacenamiento, industrial e infraestructura.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en Zona de Comercio y Servicios-Oficinas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60.- </w:t>
      </w:r>
      <w:r w:rsidRPr="00344803">
        <w:rPr>
          <w:rFonts w:ascii="Times New Roman" w:eastAsia="Times New Roman" w:hAnsi="Times New Roman" w:cs="Times New Roman"/>
          <w:sz w:val="24"/>
          <w:szCs w:val="24"/>
        </w:rPr>
        <w:t>La zona de Comercio y Servicios, es aquella que comprende el intercambio de bienes y servicios, ya sean tiendas, almacenes o establecimientos comerciales.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usos permitidos serán: comercio, servicios e industria ligera. Los usos del suelo condicionados serán institucionales y habitacional como uso mixto. Los usos prohibidos serán: industria aislada.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Las edificaciones comerciales y de servicios contarán con un área de carga y descarga y área de estacionamiento y maniobras dentro de los límites de propiedad.</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en Zona Industrial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 xml:space="preserve">Art. 61.- </w:t>
      </w:r>
      <w:r w:rsidRPr="00344803">
        <w:rPr>
          <w:rFonts w:ascii="Times New Roman" w:eastAsia="Times New Roman" w:hAnsi="Times New Roman" w:cs="Times New Roman"/>
          <w:sz w:val="24"/>
          <w:szCs w:val="24"/>
        </w:rPr>
        <w:t>La zona Industrial es aquella que comprende actividades de almacenamiento, producción, transformación y distribución de productos. Dividida en: vecina o artesanal y aislada.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Industria vecina o artesanal, son aquellas cuyos medios y procedimientos de transformación no generan desechos, fluidos, entre otros; que por su contaminación pueden causar molestias a los otros usos de la zona.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Industria Aislada, son aquellas en las que predominan las actividades industriales, cuyos medios y procedimientos de transformación producen desechos, ruidos, entre otros; causando molestias a los otros usos de la zona, y que genera contaminación ambiental.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usos permitidos serán: almacenamiento y logístico. Los usos del suelo condicionados serán institucionales; los usos de comercio y servicios será condicionados para la industria vecina o artesanal y prohibidos para la aislada. Los usos prohibidos serán habitacional.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El área de lote mínimo para la industria aislada será de 1500 metros cuadrados. Las edificaciones industriales contarán con un área de carga y descarga, de estacionamiento y de maniobras dentro de los límites de propiedad. Se deberá establecer una zona de amortiguamiento a las colindancias.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en Zona Logística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62.- </w:t>
      </w:r>
      <w:r w:rsidRPr="00344803">
        <w:rPr>
          <w:rFonts w:ascii="Times New Roman" w:eastAsia="Times New Roman" w:hAnsi="Times New Roman" w:cs="Times New Roman"/>
          <w:sz w:val="24"/>
          <w:szCs w:val="24"/>
        </w:rPr>
        <w:t>La zona Logística, es la destinada a los servicios que se pueden prestar entre el comprador y el vendedor de materias primas, productos intermedios y productos finalizados; tales como: transporte y almacenamiento de mercancías, embalaje y distribución de mercancías, servicios aduanales, entre otros.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usos permitidos serán: almacenamiento e industrial. Los usos del suelo condicionados será institucional y los usos prohibidos serán habitacional.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Las edificaciones de uso logístico deberán tener un área de carga y descarga, de estacionamiento y de maniobras dentro de los límites de propiedad. Se deberá establecer una zona de amortiguamiento a las colindancias.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en Zona de Infraestructura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63.- </w:t>
      </w:r>
      <w:r w:rsidRPr="00344803">
        <w:rPr>
          <w:rFonts w:ascii="Times New Roman" w:eastAsia="Times New Roman" w:hAnsi="Times New Roman" w:cs="Times New Roman"/>
          <w:sz w:val="24"/>
          <w:szCs w:val="24"/>
        </w:rPr>
        <w:t>Las Zonas de Infraestructura son las destinadas a los sistemas de almacenamiento de agua potable, plantas de tratamiento, estaciones de transferencias, plantas de bombeo, drenaje de aguas negras, entre otras.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usos permitidos serán: agrícola. Los usos condicionales serán: industrial. Los usos del suelo prohibidos serán habitacional e institucional.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en Zona Turística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64.- </w:t>
      </w:r>
      <w:r w:rsidRPr="00344803">
        <w:rPr>
          <w:rFonts w:ascii="Times New Roman" w:eastAsia="Times New Roman" w:hAnsi="Times New Roman" w:cs="Times New Roman"/>
          <w:sz w:val="24"/>
          <w:szCs w:val="24"/>
        </w:rPr>
        <w:t>Las zonas Turísticas, son las destinadas a la recreación y esparcimiento, las cuales el Plan establece para tal fin.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usos permitidos son: recreativos de sol, playa y montaña; de comercio y servicios; vivienda de segunda residencia; así como senderos, ciclo vías y actividades al aire libre. Los usos condicionados son: institucional y equipamiento social. Los usos prohibidos son: industrial, logístico, agrícola.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lastRenderedPageBreak/>
        <w:t>En estas zonas se deberá mantener la vegetación natural existente y propiciar acciones de reforestación en donde sea requerido. Está prohibido, en esta zona la terracería masiva y cambios en la topografía del lugar, por lo que el diseño debe adaptarse al terreno natural.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Usos en Parque Urbano y Áreas Abiertas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65.- </w:t>
      </w:r>
      <w:r w:rsidRPr="00344803">
        <w:rPr>
          <w:rFonts w:ascii="Times New Roman" w:eastAsia="Times New Roman" w:hAnsi="Times New Roman" w:cs="Times New Roman"/>
          <w:sz w:val="24"/>
          <w:szCs w:val="24"/>
        </w:rPr>
        <w:t>Los Usos en Parque Urbano, Áreas Abiertas, es aquella de uso público destinada al esparcimiento y el equilibrio ecológico. Estos usos son permitidos en todos los usos antes mencionados.</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TÍTULO V</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LAS PARCELACIONES</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CLASE DE PARCELACIONES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Instrumentos regulatorios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66.- </w:t>
      </w:r>
      <w:r w:rsidRPr="00344803">
        <w:rPr>
          <w:rFonts w:ascii="Times New Roman" w:eastAsia="Times New Roman" w:hAnsi="Times New Roman" w:cs="Times New Roman"/>
          <w:sz w:val="24"/>
          <w:szCs w:val="24"/>
        </w:rPr>
        <w:t>La planificación, ejecución y control de cualquier proyecto de parcelación se regirá por lo establecido en esta Ordenanza y por el Reglamento a la Ley de Urbanismo y Construcción en lo relativo a Parcelaciones y Urbanizaciones Habitacionales.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Parcelación Habitacional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67.- </w:t>
      </w:r>
      <w:r w:rsidRPr="00344803">
        <w:rPr>
          <w:rFonts w:ascii="Times New Roman" w:eastAsia="Times New Roman" w:hAnsi="Times New Roman" w:cs="Times New Roman"/>
          <w:sz w:val="24"/>
          <w:szCs w:val="24"/>
        </w:rPr>
        <w:t>Parcelación Habitacional, se clasificarán según su densidad y grado de urbanización, de la manera siguiente: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Según su densidad</w:t>
      </w:r>
    </w:p>
    <w:tbl>
      <w:tblPr>
        <w:tblW w:w="8040" w:type="dxa"/>
        <w:tblInd w:w="40" w:type="dxa"/>
        <w:tblCellMar>
          <w:left w:w="0" w:type="dxa"/>
          <w:right w:w="0" w:type="dxa"/>
        </w:tblCellMar>
        <w:tblLook w:val="04A0"/>
      </w:tblPr>
      <w:tblGrid>
        <w:gridCol w:w="3240"/>
        <w:gridCol w:w="2400"/>
        <w:gridCol w:w="2400"/>
      </w:tblGrid>
      <w:tr w:rsidR="005B30A4" w:rsidRPr="00344803" w:rsidTr="006B4D3E">
        <w:tc>
          <w:tcPr>
            <w:tcW w:w="324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Parcelación</w:t>
            </w:r>
          </w:p>
        </w:tc>
        <w:tc>
          <w:tcPr>
            <w:tcW w:w="24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Lote tipo (m2)</w:t>
            </w:r>
          </w:p>
        </w:tc>
        <w:tc>
          <w:tcPr>
            <w:tcW w:w="24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Densidad (Hab/Ha)</w:t>
            </w:r>
          </w:p>
        </w:tc>
      </w:tr>
      <w:tr w:rsidR="005B30A4" w:rsidRPr="00344803" w:rsidTr="006B4D3E">
        <w:tc>
          <w:tcPr>
            <w:tcW w:w="324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Habitacional de baja densidad</w:t>
            </w:r>
          </w:p>
        </w:tc>
        <w:tc>
          <w:tcPr>
            <w:tcW w:w="24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500.00</w:t>
            </w:r>
          </w:p>
        </w:tc>
        <w:tc>
          <w:tcPr>
            <w:tcW w:w="24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&lt; a 125</w:t>
            </w:r>
          </w:p>
        </w:tc>
      </w:tr>
      <w:tr w:rsidR="005B30A4" w:rsidRPr="00344803" w:rsidTr="006B4D3E">
        <w:tc>
          <w:tcPr>
            <w:tcW w:w="324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Habitacional de media densidad</w:t>
            </w:r>
          </w:p>
        </w:tc>
        <w:tc>
          <w:tcPr>
            <w:tcW w:w="24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200.00</w:t>
            </w:r>
          </w:p>
        </w:tc>
        <w:tc>
          <w:tcPr>
            <w:tcW w:w="24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De 125-250</w:t>
            </w:r>
          </w:p>
        </w:tc>
      </w:tr>
      <w:tr w:rsidR="005B30A4" w:rsidRPr="00344803" w:rsidTr="006B4D3E">
        <w:tc>
          <w:tcPr>
            <w:tcW w:w="324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Habitacional de alta densidad</w:t>
            </w:r>
          </w:p>
        </w:tc>
        <w:tc>
          <w:tcPr>
            <w:tcW w:w="24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75.00</w:t>
            </w:r>
          </w:p>
        </w:tc>
        <w:tc>
          <w:tcPr>
            <w:tcW w:w="24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&gt; 250</w:t>
            </w:r>
          </w:p>
        </w:tc>
      </w:tr>
    </w:tbl>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Según su grado de urbanización</w:t>
      </w:r>
    </w:p>
    <w:tbl>
      <w:tblPr>
        <w:tblW w:w="0" w:type="auto"/>
        <w:tblInd w:w="40" w:type="dxa"/>
        <w:tblCellMar>
          <w:left w:w="0" w:type="dxa"/>
          <w:right w:w="0" w:type="dxa"/>
        </w:tblCellMar>
        <w:tblLook w:val="04A0"/>
      </w:tblPr>
      <w:tblGrid>
        <w:gridCol w:w="3960"/>
        <w:gridCol w:w="3240"/>
      </w:tblGrid>
      <w:tr w:rsidR="005B30A4" w:rsidRPr="00344803" w:rsidTr="006B4D3E">
        <w:tc>
          <w:tcPr>
            <w:tcW w:w="39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Grado de urbanización</w:t>
            </w:r>
          </w:p>
        </w:tc>
        <w:tc>
          <w:tcPr>
            <w:tcW w:w="324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Área de lote mínima permitida</w:t>
            </w:r>
          </w:p>
        </w:tc>
      </w:tr>
      <w:tr w:rsidR="005B30A4" w:rsidRPr="00344803" w:rsidTr="006B4D3E">
        <w:tc>
          <w:tcPr>
            <w:tcW w:w="39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U1 urbanización completa</w:t>
            </w:r>
          </w:p>
        </w:tc>
        <w:tc>
          <w:tcPr>
            <w:tcW w:w="324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75.00 m2</w:t>
            </w:r>
          </w:p>
        </w:tc>
      </w:tr>
      <w:tr w:rsidR="005B30A4" w:rsidRPr="00344803" w:rsidTr="006B4D3E">
        <w:tc>
          <w:tcPr>
            <w:tcW w:w="39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U2 urbanización completa</w:t>
            </w:r>
          </w:p>
        </w:tc>
        <w:tc>
          <w:tcPr>
            <w:tcW w:w="324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100.00m2</w:t>
            </w:r>
          </w:p>
        </w:tc>
      </w:tr>
      <w:tr w:rsidR="005B30A4" w:rsidRPr="00344803" w:rsidTr="006B4D3E">
        <w:tc>
          <w:tcPr>
            <w:tcW w:w="39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U3 urbanización progresiva</w:t>
            </w:r>
          </w:p>
        </w:tc>
        <w:tc>
          <w:tcPr>
            <w:tcW w:w="324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200.00m2</w:t>
            </w:r>
          </w:p>
        </w:tc>
      </w:tr>
    </w:tbl>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No se permitieran parcelaciones con grado de urbanización U4 y U5 que establece el Reglamento a la Ley de Urbanismo y Construcción en lo Relativo a Parcelaciones y Urbanizaciones Habitacionales.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Obras por Grados de Urbanización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 xml:space="preserve">Art. 68.- </w:t>
      </w:r>
      <w:r w:rsidRPr="00344803">
        <w:rPr>
          <w:rFonts w:ascii="Times New Roman" w:eastAsia="Times New Roman" w:hAnsi="Times New Roman" w:cs="Times New Roman"/>
          <w:sz w:val="24"/>
          <w:szCs w:val="24"/>
        </w:rPr>
        <w:t>Las obras de infraestructura para cada grado de urbanización será la siguiente:</w:t>
      </w:r>
    </w:p>
    <w:tbl>
      <w:tblPr>
        <w:tblW w:w="7365" w:type="dxa"/>
        <w:tblInd w:w="40" w:type="dxa"/>
        <w:tblCellMar>
          <w:left w:w="0" w:type="dxa"/>
          <w:right w:w="0" w:type="dxa"/>
        </w:tblCellMar>
        <w:tblLook w:val="04A0"/>
      </w:tblPr>
      <w:tblGrid>
        <w:gridCol w:w="3358"/>
        <w:gridCol w:w="1489"/>
        <w:gridCol w:w="1319"/>
        <w:gridCol w:w="1199"/>
      </w:tblGrid>
      <w:tr w:rsidR="005B30A4" w:rsidRPr="00344803" w:rsidTr="006B4D3E">
        <w:tc>
          <w:tcPr>
            <w:tcW w:w="33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Grado de urbanización</w:t>
            </w:r>
          </w:p>
        </w:tc>
        <w:tc>
          <w:tcPr>
            <w:tcW w:w="149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U1</w:t>
            </w:r>
          </w:p>
        </w:tc>
        <w:tc>
          <w:tcPr>
            <w:tcW w:w="132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U2</w:t>
            </w:r>
          </w:p>
        </w:tc>
        <w:tc>
          <w:tcPr>
            <w:tcW w:w="12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U3</w:t>
            </w:r>
          </w:p>
        </w:tc>
      </w:tr>
      <w:tr w:rsidR="005B30A4" w:rsidRPr="00344803" w:rsidTr="006B4D3E">
        <w:tc>
          <w:tcPr>
            <w:tcW w:w="33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Calles, aceras, cordón y cunetas</w:t>
            </w:r>
          </w:p>
        </w:tc>
        <w:tc>
          <w:tcPr>
            <w:tcW w:w="149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RCA</w:t>
            </w:r>
          </w:p>
        </w:tc>
        <w:tc>
          <w:tcPr>
            <w:tcW w:w="132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RCB</w:t>
            </w:r>
          </w:p>
        </w:tc>
        <w:tc>
          <w:tcPr>
            <w:tcW w:w="12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RSA</w:t>
            </w:r>
          </w:p>
        </w:tc>
      </w:tr>
      <w:tr w:rsidR="005B30A4" w:rsidRPr="00344803" w:rsidTr="006B4D3E">
        <w:tc>
          <w:tcPr>
            <w:tcW w:w="33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Aguas negras</w:t>
            </w:r>
          </w:p>
        </w:tc>
        <w:tc>
          <w:tcPr>
            <w:tcW w:w="149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AL</w:t>
            </w:r>
          </w:p>
        </w:tc>
        <w:tc>
          <w:tcPr>
            <w:tcW w:w="132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AL</w:t>
            </w:r>
          </w:p>
        </w:tc>
        <w:tc>
          <w:tcPr>
            <w:tcW w:w="12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FS</w:t>
            </w:r>
          </w:p>
        </w:tc>
      </w:tr>
      <w:tr w:rsidR="005B30A4" w:rsidRPr="00344803" w:rsidTr="006B4D3E">
        <w:tc>
          <w:tcPr>
            <w:tcW w:w="33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Agua potable</w:t>
            </w:r>
          </w:p>
        </w:tc>
        <w:tc>
          <w:tcPr>
            <w:tcW w:w="149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DO</w:t>
            </w:r>
          </w:p>
        </w:tc>
        <w:tc>
          <w:tcPr>
            <w:tcW w:w="132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DO</w:t>
            </w:r>
          </w:p>
        </w:tc>
        <w:tc>
          <w:tcPr>
            <w:tcW w:w="12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DO</w:t>
            </w:r>
          </w:p>
        </w:tc>
      </w:tr>
      <w:tr w:rsidR="005B30A4" w:rsidRPr="00344803" w:rsidTr="006B4D3E">
        <w:tc>
          <w:tcPr>
            <w:tcW w:w="33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Aguas lluvias</w:t>
            </w:r>
          </w:p>
        </w:tc>
        <w:tc>
          <w:tcPr>
            <w:tcW w:w="149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CT</w:t>
            </w:r>
          </w:p>
        </w:tc>
        <w:tc>
          <w:tcPr>
            <w:tcW w:w="132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CT</w:t>
            </w:r>
          </w:p>
        </w:tc>
        <w:tc>
          <w:tcPr>
            <w:tcW w:w="12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CR</w:t>
            </w:r>
          </w:p>
        </w:tc>
      </w:tr>
      <w:tr w:rsidR="005B30A4" w:rsidRPr="00344803" w:rsidTr="006B4D3E">
        <w:tc>
          <w:tcPr>
            <w:tcW w:w="336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Alumbrado público</w:t>
            </w:r>
          </w:p>
        </w:tc>
        <w:tc>
          <w:tcPr>
            <w:tcW w:w="149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TV</w:t>
            </w:r>
          </w:p>
        </w:tc>
        <w:tc>
          <w:tcPr>
            <w:tcW w:w="132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VP</w:t>
            </w:r>
          </w:p>
        </w:tc>
        <w:tc>
          <w:tcPr>
            <w:tcW w:w="1200" w:type="dxa"/>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AC</w:t>
            </w:r>
          </w:p>
        </w:tc>
      </w:tr>
    </w:tbl>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La clasificación por tipo de obras es la que establece el Reglamento a la Ley de Urbanismo y Construcción, y se identifica de la manera siguiente: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RCA- revestimiento completo tipo 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RCB- revestimiento completo tipo B</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FS- fosa séptica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CR- canal recubierto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AC- accesos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RSA- revestimiento simple tipo 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DO- domiciliar</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TV- todas las vías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AL- alcantarillado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CT- con tubería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VP- vías principales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Cuando no exceda más de 600 lotes; cuando supere esta cantidad, se deberá implementar un sistema de tratamiento colectivo que deberá cumplir con los parámetros establecidos por el MINSAL, ANDA y Norma Especial de Aguas Residuales, así mismo autorizados por la entidad competente; será construida por el propietario del proyecto.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Tamaño de lote mínimo según pendiente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69.- </w:t>
      </w:r>
      <w:r w:rsidRPr="00344803">
        <w:rPr>
          <w:rFonts w:ascii="Times New Roman" w:eastAsia="Times New Roman" w:hAnsi="Times New Roman" w:cs="Times New Roman"/>
          <w:sz w:val="24"/>
          <w:szCs w:val="24"/>
        </w:rPr>
        <w:t>Las parcelaciones que no cuenten con sistema de drenaje de aguas negras por alcantarillado, dependiendo de las pendientes de los terrenos, podrán ser de las siguientes extensiones: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1.     Hasta 15% de pendiente, se permitirá lote mínimo de 140 m2</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2.     Hasta 20% de pendiente, se permitirá lote mínimo de 200m2</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3.     Hasta 25% de pendiente, se permitirá lote mínimo de 400 m2</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4.     Hasta 30% de pendiente, se permitirá lote mínimo de 800 m2</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Declaratoria de Interés Social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70.- </w:t>
      </w:r>
      <w:r w:rsidRPr="00344803">
        <w:rPr>
          <w:rFonts w:ascii="Times New Roman" w:eastAsia="Times New Roman" w:hAnsi="Times New Roman" w:cs="Times New Roman"/>
          <w:sz w:val="24"/>
          <w:szCs w:val="24"/>
        </w:rPr>
        <w:t>Los proyectos de Interés Social son los declarados como tal por la Municipalidad teniendo a la vista el informe técnico favorable de la UPGOT.</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proyectos de Interés Social deberán cumplir al menos con dos de los siguientes requisitos: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1.     Que sean programas o proyectos impulsados por una institución estatal u organismos sin fines de lucro.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2.     Que obedecen a una emergencia por desastre natural,</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3.     Que sean proyectos municipales de beneficio para la población,</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4.     Que sea dirigido a grupos familiares de escasos recursos.</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DEL EQUIPAMIENTO COMUNAL Y ESPACIOS LIBRES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Equipamientos Urbanos</w:t>
      </w:r>
    </w:p>
    <w:p w:rsidR="005B30A4" w:rsidRPr="009D77D0" w:rsidRDefault="005B30A4" w:rsidP="005B30A4">
      <w:pPr>
        <w:spacing w:before="120" w:line="240" w:lineRule="atLeast"/>
        <w:ind w:firstLine="360"/>
        <w:jc w:val="both"/>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 xml:space="preserve">Art. 71.- </w:t>
      </w:r>
      <w:r w:rsidRPr="009D77D0">
        <w:rPr>
          <w:rFonts w:ascii="Times New Roman" w:eastAsia="Times New Roman" w:hAnsi="Times New Roman" w:cs="Times New Roman"/>
          <w:sz w:val="23"/>
          <w:szCs w:val="23"/>
        </w:rPr>
        <w:t>Los Equipamientos Urbanos son las dotaciones destinadas al servicio público que se constituyen como importantes en la configuración del espacio urbano en la ciudad. La adquisición de terrenos para equipamientos es por cesión de suelo de uso público resultante del aprovechamiento urbanístico de los proyectos en ámbitos de suelo urbano y urbanizable.</w:t>
      </w:r>
    </w:p>
    <w:p w:rsidR="005B30A4" w:rsidRPr="009D77D0" w:rsidRDefault="005B30A4" w:rsidP="005B30A4">
      <w:pPr>
        <w:spacing w:before="120" w:line="240" w:lineRule="atLeast"/>
        <w:ind w:firstLine="360"/>
        <w:jc w:val="both"/>
        <w:rPr>
          <w:rFonts w:ascii="Times New Roman" w:eastAsia="Times New Roman" w:hAnsi="Times New Roman" w:cs="Times New Roman"/>
          <w:sz w:val="23"/>
          <w:szCs w:val="23"/>
        </w:rPr>
      </w:pPr>
      <w:r w:rsidRPr="009D77D0">
        <w:rPr>
          <w:rFonts w:ascii="Times New Roman" w:eastAsia="Times New Roman" w:hAnsi="Times New Roman" w:cs="Times New Roman"/>
          <w:sz w:val="23"/>
          <w:szCs w:val="23"/>
        </w:rPr>
        <w:t>Los equipamientos en suelos urbanizables serán los que el PDT La Paz establezca como estructurantes y estratégico para la sostenibilidad del municipio.</w:t>
      </w:r>
    </w:p>
    <w:p w:rsidR="005B30A4" w:rsidRPr="009D77D0" w:rsidRDefault="005B30A4" w:rsidP="005B30A4">
      <w:pPr>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Equipamiento Urbano en Parcelaciones Habitacionales</w:t>
      </w:r>
    </w:p>
    <w:p w:rsidR="005B30A4" w:rsidRPr="009D77D0" w:rsidRDefault="005B30A4" w:rsidP="005B30A4">
      <w:pPr>
        <w:spacing w:before="120" w:line="240" w:lineRule="atLeast"/>
        <w:ind w:firstLine="360"/>
        <w:jc w:val="both"/>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 xml:space="preserve">Art. 72.- </w:t>
      </w:r>
      <w:r w:rsidRPr="009D77D0">
        <w:rPr>
          <w:rFonts w:ascii="Times New Roman" w:eastAsia="Times New Roman" w:hAnsi="Times New Roman" w:cs="Times New Roman"/>
          <w:sz w:val="23"/>
          <w:szCs w:val="23"/>
        </w:rPr>
        <w:t>Las parcelaciones habitacionales deberán prever espacios para equipamiento urbano equivalente a 8 m2 por lote a parcelar o urbanizar para la instalación de edificios públicos donde se desarrollen actividades sociales fundamentales, tales como: educación, salud y abasto.</w:t>
      </w:r>
    </w:p>
    <w:p w:rsidR="005B30A4" w:rsidRPr="009D77D0" w:rsidRDefault="005B30A4" w:rsidP="005B30A4">
      <w:pPr>
        <w:spacing w:before="120" w:line="240" w:lineRule="atLeast"/>
        <w:ind w:firstLine="360"/>
        <w:jc w:val="both"/>
        <w:rPr>
          <w:rFonts w:ascii="Times New Roman" w:eastAsia="Times New Roman" w:hAnsi="Times New Roman" w:cs="Times New Roman"/>
          <w:sz w:val="23"/>
          <w:szCs w:val="23"/>
        </w:rPr>
      </w:pPr>
      <w:r w:rsidRPr="009D77D0">
        <w:rPr>
          <w:rFonts w:ascii="Times New Roman" w:eastAsia="Times New Roman" w:hAnsi="Times New Roman" w:cs="Times New Roman"/>
          <w:sz w:val="23"/>
          <w:szCs w:val="23"/>
        </w:rPr>
        <w:t>Por su naturaleza más estratégica estos equipamientos podrán ubicarse dentro o fuera del perímetro del proyecto los que deberán ser de uso y acceso público y deberán ser cedidos a la municipalidad. En el caso de ser ubicados fuera del proyecto de parcelación se localizarán en aquellas zonas donde los municipios tengan previsto el desarrollo de grandes núcleos de población, según las previsiones del PDT La Paz. Estos espacios deberán cumplir con niveles de calidad que garanticen su uso y funcionalidad.</w:t>
      </w:r>
    </w:p>
    <w:p w:rsidR="005B30A4" w:rsidRPr="009D77D0" w:rsidRDefault="005B30A4" w:rsidP="005B30A4">
      <w:pPr>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Equipamiento Social</w:t>
      </w:r>
    </w:p>
    <w:p w:rsidR="005B30A4" w:rsidRPr="009D77D0" w:rsidRDefault="005B30A4" w:rsidP="005B30A4">
      <w:pPr>
        <w:spacing w:before="120" w:line="240" w:lineRule="atLeast"/>
        <w:ind w:firstLine="360"/>
        <w:jc w:val="both"/>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 xml:space="preserve">Art. 73.- </w:t>
      </w:r>
      <w:r w:rsidRPr="009D77D0">
        <w:rPr>
          <w:rFonts w:ascii="Times New Roman" w:eastAsia="Times New Roman" w:hAnsi="Times New Roman" w:cs="Times New Roman"/>
          <w:sz w:val="23"/>
          <w:szCs w:val="23"/>
        </w:rPr>
        <w:t>El equipamiento social cuando los asentamientos mayores a 800 lotes, deberán distribuir los 8 m2 mencionados en el Art. 72 de la manera siguiente: 4 m2/lote para equipamiento en salud o educación; y 4 m2/lote para equipamiento de abasto. En todo caso dichas instalaciones deberán quedar construidas.</w:t>
      </w:r>
    </w:p>
    <w:p w:rsidR="005B30A4" w:rsidRPr="009D77D0" w:rsidRDefault="005B30A4" w:rsidP="005B30A4">
      <w:pPr>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Espacios Libres</w:t>
      </w:r>
    </w:p>
    <w:p w:rsidR="005B30A4" w:rsidRPr="009D77D0" w:rsidRDefault="005B30A4" w:rsidP="005B30A4">
      <w:pPr>
        <w:spacing w:before="120" w:line="240" w:lineRule="atLeast"/>
        <w:ind w:firstLine="360"/>
        <w:jc w:val="both"/>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 xml:space="preserve">Art. 74.- </w:t>
      </w:r>
      <w:r w:rsidRPr="009D77D0">
        <w:rPr>
          <w:rFonts w:ascii="Times New Roman" w:eastAsia="Times New Roman" w:hAnsi="Times New Roman" w:cs="Times New Roman"/>
          <w:sz w:val="23"/>
          <w:szCs w:val="23"/>
        </w:rPr>
        <w:t xml:space="preserve">Todo tipo de proyecto debe destinar un área de </w:t>
      </w:r>
      <w:r w:rsidRPr="009D77D0">
        <w:rPr>
          <w:rFonts w:ascii="Times New Roman" w:eastAsia="Times New Roman" w:hAnsi="Times New Roman" w:cs="Times New Roman"/>
          <w:b/>
          <w:bCs/>
          <w:sz w:val="23"/>
          <w:szCs w:val="23"/>
        </w:rPr>
        <w:t xml:space="preserve">espacios libres </w:t>
      </w:r>
      <w:r w:rsidRPr="009D77D0">
        <w:rPr>
          <w:rFonts w:ascii="Times New Roman" w:eastAsia="Times New Roman" w:hAnsi="Times New Roman" w:cs="Times New Roman"/>
          <w:sz w:val="23"/>
          <w:szCs w:val="23"/>
        </w:rPr>
        <w:t xml:space="preserve">para jardines y parque públicos equivalente al 10% de su área útil a urbanizar o parcelar, cuando se ubique </w:t>
      </w:r>
      <w:r w:rsidRPr="009D77D0">
        <w:rPr>
          <w:rFonts w:ascii="Times New Roman" w:eastAsia="Times New Roman" w:hAnsi="Times New Roman" w:cs="Times New Roman"/>
          <w:sz w:val="23"/>
          <w:szCs w:val="23"/>
        </w:rPr>
        <w:lastRenderedPageBreak/>
        <w:t>en el área urbana del municipio y el 12.5 m2 como mínimo por lote a parcelar, cuando se ubique fuera de los centros poblados existentes.</w:t>
      </w:r>
    </w:p>
    <w:p w:rsidR="005B30A4" w:rsidRPr="009D77D0" w:rsidRDefault="005B30A4" w:rsidP="005B30A4">
      <w:pPr>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Área Verde Recreativa en Parcelaciones Habitacionales</w:t>
      </w:r>
    </w:p>
    <w:p w:rsidR="005B30A4" w:rsidRPr="009D77D0" w:rsidRDefault="005B30A4" w:rsidP="005B30A4">
      <w:pPr>
        <w:spacing w:before="120" w:line="240" w:lineRule="atLeast"/>
        <w:ind w:firstLine="360"/>
        <w:jc w:val="both"/>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 xml:space="preserve">Art. 75.- </w:t>
      </w:r>
      <w:r w:rsidRPr="009D77D0">
        <w:rPr>
          <w:rFonts w:ascii="Times New Roman" w:eastAsia="Times New Roman" w:hAnsi="Times New Roman" w:cs="Times New Roman"/>
          <w:sz w:val="23"/>
          <w:szCs w:val="23"/>
        </w:rPr>
        <w:t>Las áreas verdes recreativas serán calculadas y ubicadas según lo establecido en el Reglamento a la Ley de Urbanismo y Construcción y no podrán ser ubicadas en zonas de difícil acceso. Cuando el área verde sea dividida no podrán ser menores a lotes de 500 m2, las cuales no podrán exceder más de tres módulos.</w:t>
      </w:r>
    </w:p>
    <w:p w:rsidR="005B30A4" w:rsidRPr="009D77D0" w:rsidRDefault="005B30A4" w:rsidP="005B30A4">
      <w:pPr>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Área Verde Ecológica</w:t>
      </w:r>
    </w:p>
    <w:p w:rsidR="005B30A4" w:rsidRPr="009D77D0" w:rsidRDefault="005B30A4" w:rsidP="005B30A4">
      <w:pPr>
        <w:spacing w:before="120" w:line="240" w:lineRule="atLeast"/>
        <w:ind w:firstLine="360"/>
        <w:jc w:val="both"/>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 xml:space="preserve">Art. 76.- </w:t>
      </w:r>
      <w:r w:rsidRPr="009D77D0">
        <w:rPr>
          <w:rFonts w:ascii="Times New Roman" w:eastAsia="Times New Roman" w:hAnsi="Times New Roman" w:cs="Times New Roman"/>
          <w:sz w:val="23"/>
          <w:szCs w:val="23"/>
        </w:rPr>
        <w:t>El área verde ecológica</w:t>
      </w:r>
      <w:r w:rsidRPr="009D77D0">
        <w:rPr>
          <w:rFonts w:ascii="Times New Roman" w:eastAsia="Times New Roman" w:hAnsi="Times New Roman" w:cs="Times New Roman"/>
          <w:b/>
          <w:bCs/>
          <w:sz w:val="23"/>
          <w:szCs w:val="23"/>
        </w:rPr>
        <w:t xml:space="preserve">, </w:t>
      </w:r>
      <w:r w:rsidRPr="009D77D0">
        <w:rPr>
          <w:rFonts w:ascii="Times New Roman" w:eastAsia="Times New Roman" w:hAnsi="Times New Roman" w:cs="Times New Roman"/>
          <w:sz w:val="23"/>
          <w:szCs w:val="23"/>
        </w:rPr>
        <w:t>podrá comprender redondeles, zonas de protección y otros terrenos desfavorables para la construcción y podrá ubicarse contiguo al área verde recreativa.</w:t>
      </w:r>
    </w:p>
    <w:p w:rsidR="005B30A4" w:rsidRPr="009D77D0" w:rsidRDefault="005B30A4" w:rsidP="005B30A4">
      <w:pPr>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Área Verde Recreativa en Parcelaciones Industriales</w:t>
      </w:r>
    </w:p>
    <w:p w:rsidR="005B30A4" w:rsidRPr="009D77D0" w:rsidRDefault="005B30A4" w:rsidP="005B30A4">
      <w:pPr>
        <w:spacing w:before="120" w:line="240" w:lineRule="atLeast"/>
        <w:ind w:firstLine="360"/>
        <w:jc w:val="both"/>
        <w:rPr>
          <w:rFonts w:ascii="Times New Roman" w:eastAsia="Times New Roman" w:hAnsi="Times New Roman" w:cs="Times New Roman"/>
          <w:sz w:val="23"/>
          <w:szCs w:val="23"/>
        </w:rPr>
      </w:pPr>
      <w:r w:rsidRPr="009D77D0">
        <w:rPr>
          <w:rFonts w:ascii="Times New Roman" w:eastAsia="Times New Roman" w:hAnsi="Times New Roman" w:cs="Times New Roman"/>
          <w:b/>
          <w:bCs/>
          <w:sz w:val="23"/>
          <w:szCs w:val="23"/>
        </w:rPr>
        <w:t xml:space="preserve">Art. 77.- </w:t>
      </w:r>
      <w:r w:rsidRPr="009D77D0">
        <w:rPr>
          <w:rFonts w:ascii="Times New Roman" w:eastAsia="Times New Roman" w:hAnsi="Times New Roman" w:cs="Times New Roman"/>
          <w:sz w:val="23"/>
          <w:szCs w:val="23"/>
        </w:rPr>
        <w:t>Las parcelaciones industriales con una extensión mayor a 2 Ha, deberán dejar una porción de terreno equivalente el10% del área total para área verde, la cual será destinada para el esparcimiento y recreación de los trabajadores. Esta área deberá quedar equipada y con instalaciones deportivas, servicios públicos y vestidores.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Lotes aledaños a zonas verdes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78.-</w:t>
      </w:r>
      <w:r w:rsidRPr="00344803">
        <w:rPr>
          <w:rFonts w:ascii="Times New Roman" w:eastAsia="Times New Roman" w:hAnsi="Times New Roman" w:cs="Times New Roman"/>
          <w:sz w:val="24"/>
          <w:szCs w:val="24"/>
        </w:rPr>
        <w:t xml:space="preserve"> Para los lotes ubicados aledaños a las zonas verdes deberá construir aceras de un metro de ancho.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Donación de Áreas de Equipamiento Social y Espacios Públicos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79.- </w:t>
      </w:r>
      <w:r w:rsidRPr="00344803">
        <w:rPr>
          <w:rFonts w:ascii="Times New Roman" w:eastAsia="Times New Roman" w:hAnsi="Times New Roman" w:cs="Times New Roman"/>
          <w:sz w:val="24"/>
          <w:szCs w:val="24"/>
        </w:rPr>
        <w:t>Las áreas de equipamiento social y espacios públicos, no podrán ser ocupadas para otro fin que no sea jardín, parque público, recreación abierta o equipamiento comunal, y deberán ser trasladadas en propiedad al municipio previo a la Recepción Final del proyecto, por lo que se prohíbe venderlas o utilizarlas para otra actividad que las deteriore.</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Espacios para desechos sólidos.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80.- </w:t>
      </w:r>
      <w:r w:rsidRPr="00344803">
        <w:rPr>
          <w:rFonts w:ascii="Times New Roman" w:eastAsia="Times New Roman" w:hAnsi="Times New Roman" w:cs="Times New Roman"/>
          <w:sz w:val="24"/>
          <w:szCs w:val="24"/>
        </w:rPr>
        <w:t>Todo proyecto deberá ubicar un espacio adecuado para la colocación de caseta cerrada o contenedores de basura con dispositivos de cerramiento accesible al Tren de Aseo; con área mínima de 24.00m2 por cada 100 lotes, deberán estar ubicadas de forma estratégica.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Área para planta de tratamiento.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81.- </w:t>
      </w:r>
      <w:r w:rsidRPr="00344803">
        <w:rPr>
          <w:rFonts w:ascii="Times New Roman" w:eastAsia="Times New Roman" w:hAnsi="Times New Roman" w:cs="Times New Roman"/>
          <w:sz w:val="24"/>
          <w:szCs w:val="24"/>
        </w:rPr>
        <w:t>La planta de tratamiento de las aguas negras deberá tener una distancia mínima de 25 metros lineales a la vivienda más próxima o a la línea de colindancia, deberá aislarse con cerca de malla ciclón y postes de concreto de una altura mínima de 1.80 mts.; además deberá establecer una barrera natural en su perímetro.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DEL SISTEMA VIAL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Sistema Vial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 xml:space="preserve">Art. 82.- </w:t>
      </w:r>
      <w:r w:rsidRPr="00344803">
        <w:rPr>
          <w:rFonts w:ascii="Times New Roman" w:eastAsia="Times New Roman" w:hAnsi="Times New Roman" w:cs="Times New Roman"/>
          <w:sz w:val="24"/>
          <w:szCs w:val="24"/>
        </w:rPr>
        <w:t>El sistema vial y movilidad peatonal en parcelaciones habitacionales o cualquier intervención urbanística deberán cumplir con lo establecido en el Reglamento de la Ley de Urbanismo y Construcción, con el PDT La Paz, y por la Normativa Técnica de Accesibilidad Urbanística, Arquitectónica, Transporte y Comunicaciones.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Parcelas frente a Vía Expresa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83.- </w:t>
      </w:r>
      <w:r w:rsidRPr="00344803">
        <w:rPr>
          <w:rFonts w:ascii="Times New Roman" w:eastAsia="Times New Roman" w:hAnsi="Times New Roman" w:cs="Times New Roman"/>
          <w:sz w:val="24"/>
          <w:szCs w:val="24"/>
        </w:rPr>
        <w:t>Las parcelas frente a vía expresa o arteria primaria deberán contar con una calle marginal de acceso restringido con una entrada y una salida a través de un carril de aceleración y desaceleración a dicha vía, por lo que no se permitirá su acceso directo en ese punto al rodaje principal.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Pasajes Peatonales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84.- </w:t>
      </w:r>
      <w:r w:rsidRPr="00344803">
        <w:rPr>
          <w:rFonts w:ascii="Times New Roman" w:eastAsia="Times New Roman" w:hAnsi="Times New Roman" w:cs="Times New Roman"/>
          <w:sz w:val="24"/>
          <w:szCs w:val="24"/>
        </w:rPr>
        <w:t>Los pasajes peatonales únicamente se permitirán cuando las parcelaciones habitacionales tengan grado de urbanización U1 ó U2, y con un ancho mínimo de 5.00m.</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pasajes peatonales no podrán convertirse en pasajes vehiculares, por lo que deberá proyectarse pared de obstáculo en los accesos de un metro de altura por el ancho del arriate central o postes.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lotes ubicados frente a pasajes peatonales deberán contar con un espacio destinado para estacionamiento colectivo de vehículos.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Señalización y Nomenclatura Vial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85.- </w:t>
      </w:r>
      <w:r w:rsidRPr="00344803">
        <w:rPr>
          <w:rFonts w:ascii="Times New Roman" w:eastAsia="Times New Roman" w:hAnsi="Times New Roman" w:cs="Times New Roman"/>
          <w:sz w:val="24"/>
          <w:szCs w:val="24"/>
        </w:rPr>
        <w:t>Todo proyecto deberá contener el diseño de la señalización y nomenclatura vial para su respectiva aprobación. Se exigirá al urbanizador la demarcación e instalación de las mismas de acuerdo al Manual Centroamericano de Dispositivos para el Control de Tránsito de Calles y Carreteras.</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IV</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LA INFRAESTRUCTURA Y LOS SERVICIOS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Normas Técnicas para los Servicios Públicos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86.- </w:t>
      </w:r>
      <w:r w:rsidRPr="00344803">
        <w:rPr>
          <w:rFonts w:ascii="Times New Roman" w:eastAsia="Times New Roman" w:hAnsi="Times New Roman" w:cs="Times New Roman"/>
          <w:sz w:val="24"/>
          <w:szCs w:val="24"/>
        </w:rPr>
        <w:t>El urbanizador o constructor dotará de la infraestructura del sistema de agua potable, drenaje de aguas negras y aguas lluvias; y deberá regirse por las normas técnicas de la Administración Nacional de Acueductos y Alcantarillados, ANDA; Ministerio de Salud, MINSAL y el Reglamento a la Ley de Urbanismo y construcción.</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Descarga de aguas lluvias fuera del proyecto.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87.- </w:t>
      </w:r>
      <w:r w:rsidRPr="00344803">
        <w:rPr>
          <w:rFonts w:ascii="Times New Roman" w:eastAsia="Times New Roman" w:hAnsi="Times New Roman" w:cs="Times New Roman"/>
          <w:sz w:val="24"/>
          <w:szCs w:val="24"/>
        </w:rPr>
        <w:t>Si el punto descarga de las aguas lluvias se localiza fuera de la extensión del proyecto, se deberá establecer la servidumbre legal respectiva, a efecto de desalojarla en el punto de donde proceda.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Normas Técnicas para el Sistema Eléctrico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88.- </w:t>
      </w:r>
      <w:r w:rsidRPr="00344803">
        <w:rPr>
          <w:rFonts w:ascii="Times New Roman" w:eastAsia="Times New Roman" w:hAnsi="Times New Roman" w:cs="Times New Roman"/>
          <w:sz w:val="24"/>
          <w:szCs w:val="24"/>
        </w:rPr>
        <w:t>El Urbanizador o constructor dotará de la infraestructura para el sistema eléctrico y deberá regirse por las normas técnicas de la compañía del servicio eléctrico.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Todo tendido eléctrico deberá ubicarse sobre los arriates de la vía pública.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CAPÍTULO V</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ZONAS DE PROTECCIÓN</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Zona de Protección para Accidentes Naturales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89.- </w:t>
      </w:r>
      <w:r w:rsidRPr="00344803">
        <w:rPr>
          <w:rFonts w:ascii="Times New Roman" w:eastAsia="Times New Roman" w:hAnsi="Times New Roman" w:cs="Times New Roman"/>
          <w:sz w:val="24"/>
          <w:szCs w:val="24"/>
        </w:rPr>
        <w:t>Todo accidente natural ya sea río, quebrada o ladera, debe contar con una zona de protección, con la finalidad de prevenir cualquier posible inundación y/o inestabilidad del suelo.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El ancho de la zona de protección para ríos, quebradas o laderas, se medirá a partir del borde superior del cauce o corona del talud y a todo lo largo del inmueble en la parte afectada. Debiéndose conservar en dicha zona de protección la vegetación y el perfil natural.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Cuando colinde con una quebrada, la zona de protección se regirá por lo establecido en el Art. 50 del Reglamento a la Ley de Urbanismo y Construcción. Cuando el inmueble colinde con ríos, el ancho de la zona de protección será de 50 metros lineales, casos especiales será analizado y determinado por esta oficina.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Por ningún motivo se podrá reducir el ancho natural del cauce de las quebradas o ríos, ni la obstrucción del curso normal de la escorrentía superficial o corriente del agua, ni se permitirá la tala de árboles existentes.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Reconsideraciones de Zona de Protección para Accidentes Naturales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90.-</w:t>
      </w:r>
      <w:r w:rsidRPr="00344803">
        <w:rPr>
          <w:rFonts w:ascii="Times New Roman" w:eastAsia="Times New Roman" w:hAnsi="Times New Roman" w:cs="Times New Roman"/>
          <w:sz w:val="24"/>
          <w:szCs w:val="24"/>
        </w:rPr>
        <w:t>En casos de reconsideraciones a la zona de protección mencionadas en el artículo anterior el profesional responsable deberá presentar un Estudio Hidrológico con un periodo de retorno de 50 años y las obras de protección necesarias con sus detalles y características correspondientes, así como las obras de mitigación para compensar los impactos al medio ambiente.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En caso de reconsideraciones de zonas de protección en taludes el interesado deberá presentar un Estudio Geotécnico que determine la estabilidad de los taludes y establezca las obras de protección necesarias en base a las características propias del suelo y el tipo de proyecto a desarrollar.</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Lotes colindantes con zonas de protección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91</w:t>
      </w:r>
      <w:r w:rsidRPr="00344803">
        <w:rPr>
          <w:rFonts w:ascii="Times New Roman" w:eastAsia="Times New Roman" w:hAnsi="Times New Roman" w:cs="Times New Roman"/>
          <w:sz w:val="24"/>
          <w:szCs w:val="24"/>
        </w:rPr>
        <w:t>.- Todo lote que colinden con zonas de protección de ríos o quebradas deberán establecerse que por los menos 100m2 del área del mismo estará fuera de esta zona de protección, siempre y cuando esta extensión no representen menos del 50% del área total del lote. Los propietarios de esta zona no podrán realizar obras que destruyan la flora existente, alteren la estabilidad del terreno y/o construcciones vecinas, así mismo tendrán la obligación de mantener en buen estado las obras de protección con que cuente la misma.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TÍTULO VI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LAS CONSTRUCCIONES, RESPONSABILIDAD PROFESIONAL Y ÁREAS DE DISEÑO</w:t>
      </w:r>
    </w:p>
    <w:p w:rsidR="005B30A4" w:rsidRDefault="005B30A4" w:rsidP="005B30A4">
      <w:pPr>
        <w:spacing w:after="0"/>
        <w:jc w:val="center"/>
        <w:rPr>
          <w:rFonts w:ascii="Times New Roman" w:eastAsia="Times New Roman" w:hAnsi="Times New Roman" w:cs="Times New Roman"/>
          <w:b/>
          <w:bCs/>
          <w:sz w:val="24"/>
          <w:szCs w:val="24"/>
        </w:rPr>
      </w:pP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CONSTRUCCIONES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Inmuebles dentro del centro histórico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92.-</w:t>
      </w:r>
      <w:r w:rsidRPr="00344803">
        <w:rPr>
          <w:rFonts w:ascii="Times New Roman" w:eastAsia="Times New Roman" w:hAnsi="Times New Roman" w:cs="Times New Roman"/>
          <w:sz w:val="24"/>
          <w:szCs w:val="24"/>
        </w:rPr>
        <w:t xml:space="preserve"> Los propietarios de bienes inmuebles que estén declarados con valor patrimonial y los que se encuentren dentro de los centros históricos determinados en el PDT La Paz, deben conservarse en buen estado y cumplir con la Legislación aplicable.</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Elementos estructurales o arquitectónicos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93.-</w:t>
      </w:r>
      <w:r w:rsidRPr="00344803">
        <w:rPr>
          <w:rFonts w:ascii="Times New Roman" w:eastAsia="Times New Roman" w:hAnsi="Times New Roman" w:cs="Times New Roman"/>
          <w:sz w:val="24"/>
          <w:szCs w:val="24"/>
        </w:rPr>
        <w:t xml:space="preserve"> No se permitirán elementos estructurales o arquitectónicos que salgan de la Línea de Construcción; excepto los voladizos hasta de 1.00 mt. de ancho y a 3.00 mts. de altura cuya función será como cortasol o marquesina; en las viviendas se permitirá hasta 2.50 mts. de altura.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Altura de paredes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94.-</w:t>
      </w:r>
      <w:r w:rsidRPr="00344803">
        <w:rPr>
          <w:rFonts w:ascii="Times New Roman" w:eastAsia="Times New Roman" w:hAnsi="Times New Roman" w:cs="Times New Roman"/>
          <w:sz w:val="24"/>
          <w:szCs w:val="24"/>
        </w:rPr>
        <w:t xml:space="preserve"> La altura mínima de las construcciones será de 3.00 metros a partir del nivel del piso terminado excepto para viviendas que podrá ser de 2.50 metros.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Ventilación e iluminación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95</w:t>
      </w:r>
      <w:r w:rsidRPr="00344803">
        <w:rPr>
          <w:rFonts w:ascii="Times New Roman" w:eastAsia="Times New Roman" w:hAnsi="Times New Roman" w:cs="Times New Roman"/>
          <w:sz w:val="24"/>
          <w:szCs w:val="24"/>
        </w:rPr>
        <w:t>.- Todos los ambientes de una edificación deberán ser dotados de luz y ventilación natural; en las edificaciones que sea necesario mantener cerrada puertas y ventanas deberá instalarse ventilación mecánica.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Las áreas de ventilación serán calculadas en base a lo siguiente:</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1.     Para espacios habitables, 1/5 del área del piso como mínimo.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2.     Para espacios no habitables, 1/8 del área del piso como mínimo.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Éstas deberán dar directamente a patios y nunca estar a menos de 2.00 metros de las colindancias; o a la vía pública.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Artefactos sanitarios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96.- </w:t>
      </w:r>
      <w:r w:rsidRPr="00344803">
        <w:rPr>
          <w:rFonts w:ascii="Times New Roman" w:eastAsia="Times New Roman" w:hAnsi="Times New Roman" w:cs="Times New Roman"/>
          <w:sz w:val="24"/>
          <w:szCs w:val="24"/>
        </w:rPr>
        <w:t>La dotación mínima de artefactos sanitarios en edificaciones se hará en función de lo siguiente:</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a)    </w:t>
      </w:r>
      <w:r w:rsidRPr="00344803">
        <w:rPr>
          <w:rFonts w:ascii="Times New Roman" w:eastAsia="Times New Roman" w:hAnsi="Times New Roman" w:cs="Times New Roman"/>
          <w:b/>
          <w:bCs/>
          <w:sz w:val="24"/>
          <w:szCs w:val="24"/>
        </w:rPr>
        <w:t>Templos religiosos: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Hombres: un inodoro, dos urinario y dos lavado por cada 250 concurrentes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Mujeres: dos inodoro, un lavado por cada 250 concurrentes.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b)    </w:t>
      </w:r>
      <w:r w:rsidRPr="00344803">
        <w:rPr>
          <w:rFonts w:ascii="Times New Roman" w:eastAsia="Times New Roman" w:hAnsi="Times New Roman" w:cs="Times New Roman"/>
          <w:b/>
          <w:bCs/>
          <w:sz w:val="24"/>
          <w:szCs w:val="24"/>
        </w:rPr>
        <w:t>Establecimiento Industrial: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Hasta 100 trabajadores: un inodoro, un urinario y un lavado por cada 50 trabajadores, fracción. 25</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Hasta 500 trabajadores: un inodoro, un urinario y un lavado por cada 70 trabajadores, fracción. 35</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Más de 500 trabajadores: un inodoro, un urinario y un lavado por cada 90 trabajadores, fracc.45</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lastRenderedPageBreak/>
        <w:t xml:space="preserve">c)     </w:t>
      </w:r>
      <w:r w:rsidRPr="00344803">
        <w:rPr>
          <w:rFonts w:ascii="Times New Roman" w:eastAsia="Times New Roman" w:hAnsi="Times New Roman" w:cs="Times New Roman"/>
          <w:b/>
          <w:bCs/>
          <w:sz w:val="24"/>
          <w:szCs w:val="24"/>
        </w:rPr>
        <w:t xml:space="preserve">Establecimiento comercial: </w:t>
      </w:r>
      <w:r w:rsidRPr="00344803">
        <w:rPr>
          <w:rFonts w:ascii="Times New Roman" w:eastAsia="Times New Roman" w:hAnsi="Times New Roman" w:cs="Times New Roman"/>
          <w:sz w:val="24"/>
          <w:szCs w:val="24"/>
        </w:rPr>
        <w:t>un inodoro, un lavado por cada 2000.00 m2 de área útil.</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d)    </w:t>
      </w:r>
      <w:r w:rsidRPr="00344803">
        <w:rPr>
          <w:rFonts w:ascii="Times New Roman" w:eastAsia="Times New Roman" w:hAnsi="Times New Roman" w:cs="Times New Roman"/>
          <w:b/>
          <w:bCs/>
          <w:sz w:val="24"/>
          <w:szCs w:val="24"/>
        </w:rPr>
        <w:t xml:space="preserve">Establecimiento educativo: </w:t>
      </w:r>
      <w:r w:rsidRPr="00344803">
        <w:rPr>
          <w:rFonts w:ascii="Times New Roman" w:eastAsia="Times New Roman" w:hAnsi="Times New Roman" w:cs="Times New Roman"/>
          <w:sz w:val="24"/>
          <w:szCs w:val="24"/>
        </w:rPr>
        <w:t>bebederos o grifos por cada 75 alumnos;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Hombres: un inodoro, un urinario y un lavado por cada 20 alumnos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Mujeres: dos inodoro, un lavado por cada 20 alumnos.</w:t>
      </w:r>
    </w:p>
    <w:p w:rsidR="005B30A4" w:rsidRPr="00912997" w:rsidRDefault="005B30A4" w:rsidP="005B30A4">
      <w:pPr>
        <w:spacing w:before="120" w:line="240" w:lineRule="atLeast"/>
        <w:ind w:firstLine="360"/>
        <w:jc w:val="both"/>
        <w:rPr>
          <w:rFonts w:ascii="Times New Roman" w:eastAsia="Times New Roman" w:hAnsi="Times New Roman" w:cs="Times New Roman"/>
          <w:sz w:val="23"/>
          <w:szCs w:val="23"/>
        </w:rPr>
      </w:pPr>
      <w:r w:rsidRPr="00912997">
        <w:rPr>
          <w:rFonts w:ascii="Times New Roman" w:eastAsia="Times New Roman" w:hAnsi="Times New Roman" w:cs="Times New Roman"/>
          <w:sz w:val="23"/>
          <w:szCs w:val="23"/>
        </w:rPr>
        <w:t>En todos los edificios para equipamiento social, administración pública o destinado a congregar personas, deberán contar al menos con uno de sus servicios para el uso de personas con discapacidad, tal como lo establece la Normativa Técnica de Accesibilidad Urbanística, Arquitectónica, Transporte y Comunicaciones.</w:t>
      </w:r>
    </w:p>
    <w:p w:rsidR="005B30A4" w:rsidRPr="00912997" w:rsidRDefault="005B30A4" w:rsidP="005B30A4">
      <w:pPr>
        <w:rPr>
          <w:rFonts w:ascii="Times New Roman" w:eastAsia="Times New Roman" w:hAnsi="Times New Roman" w:cs="Times New Roman"/>
          <w:sz w:val="23"/>
          <w:szCs w:val="23"/>
        </w:rPr>
      </w:pPr>
      <w:r w:rsidRPr="00912997">
        <w:rPr>
          <w:rFonts w:ascii="Times New Roman" w:eastAsia="Times New Roman" w:hAnsi="Times New Roman" w:cs="Times New Roman"/>
          <w:b/>
          <w:bCs/>
          <w:sz w:val="23"/>
          <w:szCs w:val="23"/>
        </w:rPr>
        <w:t>Descargas de aguas residuales</w:t>
      </w:r>
    </w:p>
    <w:p w:rsidR="005B30A4" w:rsidRPr="00912997" w:rsidRDefault="005B30A4" w:rsidP="005B30A4">
      <w:pPr>
        <w:spacing w:before="120" w:line="240" w:lineRule="atLeast"/>
        <w:ind w:firstLine="360"/>
        <w:jc w:val="both"/>
        <w:rPr>
          <w:rFonts w:ascii="Times New Roman" w:eastAsia="Times New Roman" w:hAnsi="Times New Roman" w:cs="Times New Roman"/>
          <w:sz w:val="23"/>
          <w:szCs w:val="23"/>
        </w:rPr>
      </w:pPr>
      <w:r w:rsidRPr="00912997">
        <w:rPr>
          <w:rFonts w:ascii="Times New Roman" w:eastAsia="Times New Roman" w:hAnsi="Times New Roman" w:cs="Times New Roman"/>
          <w:b/>
          <w:bCs/>
          <w:sz w:val="23"/>
          <w:szCs w:val="23"/>
        </w:rPr>
        <w:t xml:space="preserve">Art. 97.- </w:t>
      </w:r>
      <w:r w:rsidRPr="00912997">
        <w:rPr>
          <w:rFonts w:ascii="Times New Roman" w:eastAsia="Times New Roman" w:hAnsi="Times New Roman" w:cs="Times New Roman"/>
          <w:sz w:val="23"/>
          <w:szCs w:val="23"/>
        </w:rPr>
        <w:t>Cuando los proyectos no cuenten con factibilidad al sistema de alcantarillado sanitario deberá presentar un sistema de tratamiento para sus aguas residuales aprobado por la autoridad competente</w:t>
      </w:r>
      <w:r w:rsidRPr="00912997">
        <w:rPr>
          <w:rFonts w:ascii="Times New Roman" w:eastAsia="Times New Roman" w:hAnsi="Times New Roman" w:cs="Times New Roman"/>
          <w:b/>
          <w:bCs/>
          <w:sz w:val="23"/>
          <w:szCs w:val="23"/>
        </w:rPr>
        <w:t xml:space="preserve">, </w:t>
      </w:r>
      <w:r w:rsidRPr="00912997">
        <w:rPr>
          <w:rFonts w:ascii="Times New Roman" w:eastAsia="Times New Roman" w:hAnsi="Times New Roman" w:cs="Times New Roman"/>
          <w:sz w:val="23"/>
          <w:szCs w:val="23"/>
        </w:rPr>
        <w:t>por lo que no se permitirá descarga directa de éstas a ningún cuerpo receptor sin que sean tratadas previamente y cumplan con los estándares establecidos por el MINSAL, ANDA y la Norma Especial de Aguas Residuales.</w:t>
      </w:r>
    </w:p>
    <w:p w:rsidR="005B30A4" w:rsidRPr="00912997" w:rsidRDefault="005B30A4" w:rsidP="005B30A4">
      <w:pPr>
        <w:rPr>
          <w:rFonts w:ascii="Times New Roman" w:eastAsia="Times New Roman" w:hAnsi="Times New Roman" w:cs="Times New Roman"/>
          <w:sz w:val="23"/>
          <w:szCs w:val="23"/>
        </w:rPr>
      </w:pPr>
      <w:r w:rsidRPr="00912997">
        <w:rPr>
          <w:rFonts w:ascii="Times New Roman" w:eastAsia="Times New Roman" w:hAnsi="Times New Roman" w:cs="Times New Roman"/>
          <w:b/>
          <w:bCs/>
          <w:sz w:val="23"/>
          <w:szCs w:val="23"/>
        </w:rPr>
        <w:t>Accesibilidad</w:t>
      </w:r>
    </w:p>
    <w:p w:rsidR="005B30A4" w:rsidRPr="00912997" w:rsidRDefault="005B30A4" w:rsidP="005B30A4">
      <w:pPr>
        <w:spacing w:before="120" w:line="240" w:lineRule="atLeast"/>
        <w:ind w:firstLine="360"/>
        <w:jc w:val="both"/>
        <w:rPr>
          <w:rFonts w:ascii="Times New Roman" w:eastAsia="Times New Roman" w:hAnsi="Times New Roman" w:cs="Times New Roman"/>
          <w:sz w:val="23"/>
          <w:szCs w:val="23"/>
        </w:rPr>
      </w:pPr>
      <w:r w:rsidRPr="00912997">
        <w:rPr>
          <w:rFonts w:ascii="Times New Roman" w:eastAsia="Times New Roman" w:hAnsi="Times New Roman" w:cs="Times New Roman"/>
          <w:b/>
          <w:bCs/>
          <w:sz w:val="23"/>
          <w:szCs w:val="23"/>
        </w:rPr>
        <w:t>Art. 98.-</w:t>
      </w:r>
      <w:r w:rsidRPr="00912997">
        <w:rPr>
          <w:rFonts w:ascii="Times New Roman" w:eastAsia="Times New Roman" w:hAnsi="Times New Roman" w:cs="Times New Roman"/>
          <w:sz w:val="23"/>
          <w:szCs w:val="23"/>
        </w:rPr>
        <w:t>Todas las edificaciones que se realicen en este municipio deberán cumplir con la Normativa Técnica de Accesibilidad Urbanística, Arquitectónica, Transporte y Comunicaciones.</w:t>
      </w:r>
    </w:p>
    <w:p w:rsidR="005B30A4" w:rsidRPr="00912997" w:rsidRDefault="005B30A4" w:rsidP="005B30A4">
      <w:pPr>
        <w:rPr>
          <w:rFonts w:ascii="Times New Roman" w:eastAsia="Times New Roman" w:hAnsi="Times New Roman" w:cs="Times New Roman"/>
          <w:sz w:val="23"/>
          <w:szCs w:val="23"/>
        </w:rPr>
      </w:pPr>
      <w:r w:rsidRPr="00912997">
        <w:rPr>
          <w:rFonts w:ascii="Times New Roman" w:eastAsia="Times New Roman" w:hAnsi="Times New Roman" w:cs="Times New Roman"/>
          <w:b/>
          <w:bCs/>
          <w:sz w:val="23"/>
          <w:szCs w:val="23"/>
        </w:rPr>
        <w:t>Estacionamientos</w:t>
      </w:r>
    </w:p>
    <w:p w:rsidR="005B30A4" w:rsidRPr="00912997" w:rsidRDefault="005B30A4" w:rsidP="005B30A4">
      <w:pPr>
        <w:spacing w:before="120" w:line="240" w:lineRule="atLeast"/>
        <w:ind w:firstLine="360"/>
        <w:jc w:val="both"/>
        <w:rPr>
          <w:rFonts w:ascii="Times New Roman" w:eastAsia="Times New Roman" w:hAnsi="Times New Roman" w:cs="Times New Roman"/>
          <w:sz w:val="23"/>
          <w:szCs w:val="23"/>
        </w:rPr>
      </w:pPr>
      <w:r w:rsidRPr="00912997">
        <w:rPr>
          <w:rFonts w:ascii="Times New Roman" w:eastAsia="Times New Roman" w:hAnsi="Times New Roman" w:cs="Times New Roman"/>
          <w:b/>
          <w:bCs/>
          <w:sz w:val="23"/>
          <w:szCs w:val="23"/>
        </w:rPr>
        <w:t>Art. 99.-</w:t>
      </w:r>
      <w:r w:rsidRPr="00912997">
        <w:rPr>
          <w:rFonts w:ascii="Times New Roman" w:eastAsia="Times New Roman" w:hAnsi="Times New Roman" w:cs="Times New Roman"/>
          <w:sz w:val="23"/>
          <w:szCs w:val="23"/>
        </w:rPr>
        <w:t>Las aéreas de estacionamiento en las edificaciones, deberán tener una capacidad mínima para el número de espacios que se determine:</w:t>
      </w:r>
    </w:p>
    <w:p w:rsidR="005B30A4" w:rsidRPr="00912997" w:rsidRDefault="005B30A4" w:rsidP="005B30A4">
      <w:pPr>
        <w:spacing w:before="120" w:line="240" w:lineRule="atLeast"/>
        <w:ind w:left="720" w:hanging="360"/>
        <w:jc w:val="both"/>
        <w:rPr>
          <w:rFonts w:ascii="Times New Roman" w:eastAsia="Times New Roman" w:hAnsi="Times New Roman" w:cs="Times New Roman"/>
          <w:sz w:val="23"/>
          <w:szCs w:val="23"/>
        </w:rPr>
      </w:pPr>
      <w:r w:rsidRPr="00912997">
        <w:rPr>
          <w:rFonts w:ascii="Times New Roman" w:eastAsia="Times New Roman" w:hAnsi="Times New Roman" w:cs="Times New Roman"/>
          <w:sz w:val="23"/>
          <w:szCs w:val="23"/>
        </w:rPr>
        <w:t>a)   </w:t>
      </w:r>
      <w:r w:rsidRPr="00912997">
        <w:rPr>
          <w:rFonts w:ascii="Times New Roman" w:eastAsia="Times New Roman" w:hAnsi="Times New Roman" w:cs="Times New Roman"/>
          <w:b/>
          <w:bCs/>
          <w:sz w:val="23"/>
          <w:szCs w:val="23"/>
        </w:rPr>
        <w:t xml:space="preserve">Templos religiosos: </w:t>
      </w:r>
      <w:r w:rsidRPr="00912997">
        <w:rPr>
          <w:rFonts w:ascii="Times New Roman" w:eastAsia="Times New Roman" w:hAnsi="Times New Roman" w:cs="Times New Roman"/>
          <w:sz w:val="23"/>
          <w:szCs w:val="23"/>
        </w:rPr>
        <w:t>1 plaza por cada 100.00m2</w:t>
      </w:r>
    </w:p>
    <w:p w:rsidR="005B30A4" w:rsidRPr="00912997" w:rsidRDefault="005B30A4" w:rsidP="005B30A4">
      <w:pPr>
        <w:spacing w:before="120" w:line="240" w:lineRule="atLeast"/>
        <w:ind w:left="720" w:hanging="360"/>
        <w:jc w:val="both"/>
        <w:rPr>
          <w:rFonts w:ascii="Times New Roman" w:eastAsia="Times New Roman" w:hAnsi="Times New Roman" w:cs="Times New Roman"/>
          <w:sz w:val="23"/>
          <w:szCs w:val="23"/>
        </w:rPr>
      </w:pPr>
      <w:r w:rsidRPr="00912997">
        <w:rPr>
          <w:rFonts w:ascii="Times New Roman" w:eastAsia="Times New Roman" w:hAnsi="Times New Roman" w:cs="Times New Roman"/>
          <w:sz w:val="23"/>
          <w:szCs w:val="23"/>
        </w:rPr>
        <w:t>b)   </w:t>
      </w:r>
      <w:r w:rsidRPr="00912997">
        <w:rPr>
          <w:rFonts w:ascii="Times New Roman" w:eastAsia="Times New Roman" w:hAnsi="Times New Roman" w:cs="Times New Roman"/>
          <w:b/>
          <w:bCs/>
          <w:sz w:val="23"/>
          <w:szCs w:val="23"/>
        </w:rPr>
        <w:t xml:space="preserve">Establecimiento Industrial: </w:t>
      </w:r>
      <w:r w:rsidRPr="00912997">
        <w:rPr>
          <w:rFonts w:ascii="Times New Roman" w:eastAsia="Times New Roman" w:hAnsi="Times New Roman" w:cs="Times New Roman"/>
          <w:sz w:val="23"/>
          <w:szCs w:val="23"/>
        </w:rPr>
        <w:t>1 plaza por cada 50.00m2 de construcción; 1 plaza para furgones en área de carga y descarga por cada 750.00 m2 de construcción para bodega o producción con entradas y salidas controladas</w:t>
      </w:r>
    </w:p>
    <w:p w:rsidR="005B30A4" w:rsidRPr="00912997" w:rsidRDefault="005B30A4" w:rsidP="005B30A4">
      <w:pPr>
        <w:spacing w:before="120" w:line="240" w:lineRule="atLeast"/>
        <w:ind w:left="720" w:hanging="360"/>
        <w:jc w:val="both"/>
        <w:rPr>
          <w:rFonts w:ascii="Times New Roman" w:eastAsia="Times New Roman" w:hAnsi="Times New Roman" w:cs="Times New Roman"/>
          <w:sz w:val="23"/>
          <w:szCs w:val="23"/>
        </w:rPr>
      </w:pPr>
      <w:r w:rsidRPr="00912997">
        <w:rPr>
          <w:rFonts w:ascii="Times New Roman" w:eastAsia="Times New Roman" w:hAnsi="Times New Roman" w:cs="Times New Roman"/>
          <w:sz w:val="23"/>
          <w:szCs w:val="23"/>
        </w:rPr>
        <w:t>c)   </w:t>
      </w:r>
      <w:r w:rsidRPr="00912997">
        <w:rPr>
          <w:rFonts w:ascii="Times New Roman" w:eastAsia="Times New Roman" w:hAnsi="Times New Roman" w:cs="Times New Roman"/>
          <w:b/>
          <w:bCs/>
          <w:sz w:val="23"/>
          <w:szCs w:val="23"/>
        </w:rPr>
        <w:t xml:space="preserve">Cementerio: </w:t>
      </w:r>
      <w:r w:rsidRPr="00912997">
        <w:rPr>
          <w:rFonts w:ascii="Times New Roman" w:eastAsia="Times New Roman" w:hAnsi="Times New Roman" w:cs="Times New Roman"/>
          <w:sz w:val="23"/>
          <w:szCs w:val="23"/>
        </w:rPr>
        <w:t>para usuarios de la zona de enterramiento 1 plaza por cada 100 nichos; área administrativas 1 plaza por cada 100.00m2 de construcción.</w:t>
      </w:r>
    </w:p>
    <w:p w:rsidR="005B30A4" w:rsidRPr="00912997" w:rsidRDefault="005B30A4" w:rsidP="005B30A4">
      <w:pPr>
        <w:spacing w:before="120" w:line="240" w:lineRule="atLeast"/>
        <w:ind w:left="720" w:hanging="360"/>
        <w:jc w:val="both"/>
        <w:rPr>
          <w:rFonts w:ascii="Times New Roman" w:eastAsia="Times New Roman" w:hAnsi="Times New Roman" w:cs="Times New Roman"/>
          <w:sz w:val="23"/>
          <w:szCs w:val="23"/>
        </w:rPr>
      </w:pPr>
      <w:r w:rsidRPr="00912997">
        <w:rPr>
          <w:rFonts w:ascii="Times New Roman" w:eastAsia="Times New Roman" w:hAnsi="Times New Roman" w:cs="Times New Roman"/>
          <w:sz w:val="23"/>
          <w:szCs w:val="23"/>
        </w:rPr>
        <w:t>d)   </w:t>
      </w:r>
      <w:r w:rsidRPr="00912997">
        <w:rPr>
          <w:rFonts w:ascii="Times New Roman" w:eastAsia="Times New Roman" w:hAnsi="Times New Roman" w:cs="Times New Roman"/>
          <w:b/>
          <w:bCs/>
          <w:sz w:val="23"/>
          <w:szCs w:val="23"/>
        </w:rPr>
        <w:t xml:space="preserve">Establecimiento comercial: </w:t>
      </w:r>
      <w:r w:rsidRPr="00912997">
        <w:rPr>
          <w:rFonts w:ascii="Times New Roman" w:eastAsia="Times New Roman" w:hAnsi="Times New Roman" w:cs="Times New Roman"/>
          <w:sz w:val="23"/>
          <w:szCs w:val="23"/>
        </w:rPr>
        <w:t>1 plaza por cada 50.00m2 de construcción; 1 plaza para furgones en área de carga y descarga por cada 750.00 m2 de construcción para bodega o producción con entradas y salidas controladas</w:t>
      </w:r>
    </w:p>
    <w:p w:rsidR="005B30A4" w:rsidRPr="00912997" w:rsidRDefault="005B30A4" w:rsidP="005B30A4">
      <w:pPr>
        <w:spacing w:before="120" w:line="240" w:lineRule="atLeast"/>
        <w:ind w:firstLine="360"/>
        <w:jc w:val="both"/>
        <w:rPr>
          <w:rFonts w:ascii="Times New Roman" w:eastAsia="Times New Roman" w:hAnsi="Times New Roman" w:cs="Times New Roman"/>
          <w:sz w:val="23"/>
          <w:szCs w:val="23"/>
        </w:rPr>
      </w:pPr>
      <w:r w:rsidRPr="00912997">
        <w:rPr>
          <w:rFonts w:ascii="Times New Roman" w:eastAsia="Times New Roman" w:hAnsi="Times New Roman" w:cs="Times New Roman"/>
          <w:sz w:val="23"/>
          <w:szCs w:val="23"/>
        </w:rPr>
        <w:t>En edificios públicos o privados destinados a la concentración de gran número de personas deberán destinar el 3% de sus plazas para el estacionamiento de vehículos que transportan a personas con discapacidad.</w:t>
      </w:r>
    </w:p>
    <w:p w:rsidR="005B30A4" w:rsidRPr="00912997" w:rsidRDefault="005B30A4" w:rsidP="005B30A4">
      <w:pPr>
        <w:spacing w:before="120" w:line="240" w:lineRule="atLeast"/>
        <w:ind w:firstLine="360"/>
        <w:jc w:val="both"/>
        <w:rPr>
          <w:rFonts w:ascii="Times New Roman" w:eastAsia="Times New Roman" w:hAnsi="Times New Roman" w:cs="Times New Roman"/>
          <w:sz w:val="23"/>
          <w:szCs w:val="23"/>
        </w:rPr>
      </w:pPr>
      <w:r w:rsidRPr="00912997">
        <w:rPr>
          <w:rFonts w:ascii="Times New Roman" w:eastAsia="Times New Roman" w:hAnsi="Times New Roman" w:cs="Times New Roman"/>
          <w:sz w:val="23"/>
          <w:szCs w:val="23"/>
        </w:rPr>
        <w:t>Las áreas de estacionamiento en las edificaciones de todo tipo deberán contar con un árbol por cada tres plazas de estacionamiento, deberán estar recubiertas con material permeable.</w:t>
      </w:r>
    </w:p>
    <w:p w:rsidR="005B30A4" w:rsidRPr="00912997" w:rsidRDefault="005B30A4" w:rsidP="005B30A4">
      <w:pPr>
        <w:rPr>
          <w:rFonts w:ascii="Times New Roman" w:eastAsia="Times New Roman" w:hAnsi="Times New Roman" w:cs="Times New Roman"/>
          <w:sz w:val="23"/>
          <w:szCs w:val="23"/>
        </w:rPr>
      </w:pPr>
      <w:r w:rsidRPr="00912997">
        <w:rPr>
          <w:rFonts w:ascii="Times New Roman" w:eastAsia="Times New Roman" w:hAnsi="Times New Roman" w:cs="Times New Roman"/>
          <w:b/>
          <w:bCs/>
          <w:sz w:val="23"/>
          <w:szCs w:val="23"/>
        </w:rPr>
        <w:t>Seguridad en las edificaciones</w:t>
      </w:r>
    </w:p>
    <w:p w:rsidR="005B30A4" w:rsidRPr="00912997" w:rsidRDefault="005B30A4" w:rsidP="005B30A4">
      <w:pPr>
        <w:spacing w:before="120" w:line="240" w:lineRule="atLeast"/>
        <w:ind w:firstLine="360"/>
        <w:jc w:val="both"/>
        <w:rPr>
          <w:rFonts w:ascii="Times New Roman" w:eastAsia="Times New Roman" w:hAnsi="Times New Roman" w:cs="Times New Roman"/>
          <w:sz w:val="23"/>
          <w:szCs w:val="23"/>
        </w:rPr>
      </w:pPr>
      <w:r w:rsidRPr="00912997">
        <w:rPr>
          <w:rFonts w:ascii="Times New Roman" w:eastAsia="Times New Roman" w:hAnsi="Times New Roman" w:cs="Times New Roman"/>
          <w:b/>
          <w:bCs/>
          <w:sz w:val="23"/>
          <w:szCs w:val="23"/>
        </w:rPr>
        <w:t>Art. 100.-</w:t>
      </w:r>
      <w:r w:rsidRPr="00912997">
        <w:rPr>
          <w:rFonts w:ascii="Times New Roman" w:eastAsia="Times New Roman" w:hAnsi="Times New Roman" w:cs="Times New Roman"/>
          <w:sz w:val="23"/>
          <w:szCs w:val="23"/>
        </w:rPr>
        <w:t xml:space="preserve"> Toda edificación deberá contar con: medidas que garanticen la seguridad de sus ocupantes, la dotación de mecanismos de seguridad para prevenir incendios y controlar </w:t>
      </w:r>
      <w:r w:rsidRPr="00912997">
        <w:rPr>
          <w:rFonts w:ascii="Times New Roman" w:eastAsia="Times New Roman" w:hAnsi="Times New Roman" w:cs="Times New Roman"/>
          <w:sz w:val="23"/>
          <w:szCs w:val="23"/>
        </w:rPr>
        <w:lastRenderedPageBreak/>
        <w:t>la propagación, señalización y salidas de emergencia con un ancho mínimo de 1.00, abatibles hacia afuera y sin obstrucción.</w:t>
      </w:r>
    </w:p>
    <w:p w:rsidR="005B30A4" w:rsidRPr="00912997" w:rsidRDefault="005B30A4" w:rsidP="005B30A4">
      <w:pPr>
        <w:spacing w:before="120" w:line="240" w:lineRule="atLeast"/>
        <w:ind w:firstLine="360"/>
        <w:jc w:val="both"/>
        <w:rPr>
          <w:rFonts w:ascii="Times New Roman" w:eastAsia="Times New Roman" w:hAnsi="Times New Roman" w:cs="Times New Roman"/>
          <w:sz w:val="23"/>
          <w:szCs w:val="23"/>
        </w:rPr>
      </w:pPr>
      <w:r w:rsidRPr="00912997">
        <w:rPr>
          <w:rFonts w:ascii="Times New Roman" w:eastAsia="Times New Roman" w:hAnsi="Times New Roman" w:cs="Times New Roman"/>
          <w:sz w:val="23"/>
          <w:szCs w:val="23"/>
        </w:rPr>
        <w:t>Las edificaciones de tres o más plantas deberán contar con escaleras de emergencia, su ubicación deberá permitir la salida a espacios abiertos.</w:t>
      </w:r>
    </w:p>
    <w:p w:rsidR="005B30A4" w:rsidRPr="00912997" w:rsidRDefault="005B30A4" w:rsidP="005B30A4">
      <w:pPr>
        <w:rPr>
          <w:rFonts w:ascii="Times New Roman" w:eastAsia="Times New Roman" w:hAnsi="Times New Roman" w:cs="Times New Roman"/>
          <w:sz w:val="23"/>
          <w:szCs w:val="23"/>
        </w:rPr>
      </w:pPr>
      <w:r w:rsidRPr="00912997">
        <w:rPr>
          <w:rFonts w:ascii="Times New Roman" w:eastAsia="Times New Roman" w:hAnsi="Times New Roman" w:cs="Times New Roman"/>
          <w:b/>
          <w:bCs/>
          <w:sz w:val="23"/>
          <w:szCs w:val="23"/>
        </w:rPr>
        <w:t>Servidumbre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101.- </w:t>
      </w:r>
      <w:r w:rsidRPr="00344803">
        <w:rPr>
          <w:rFonts w:ascii="Times New Roman" w:eastAsia="Times New Roman" w:hAnsi="Times New Roman" w:cs="Times New Roman"/>
          <w:sz w:val="24"/>
          <w:szCs w:val="24"/>
        </w:rPr>
        <w:t>No se permitirá ningún tipo de construcción sobre servidumbres que comprendan instalaciones de aguas lluvias, de aguas negras, de agua potable y de energía eléctrica.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Memoria de cálculo estructural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102.-</w:t>
      </w:r>
      <w:r w:rsidRPr="00344803">
        <w:rPr>
          <w:rFonts w:ascii="Times New Roman" w:eastAsia="Times New Roman" w:hAnsi="Times New Roman" w:cs="Times New Roman"/>
          <w:sz w:val="24"/>
          <w:szCs w:val="24"/>
        </w:rPr>
        <w:t xml:space="preserve"> Será requisito indispensable presentar para el trámite de Dictamen técnico de proyecto memoria de cálculo estructural en los siguientes casos: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1.     Edificaciones de 2 plantas con techo de losa en la 2ª. Planta.</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2.     Edificaciones de 3 o más plantas.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3.     Edificaciones de una planta o más, con claros libres entre apoyos iguales o mayores de 5.00 mts.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4.     Edificaciones con paredes con alturas libres mayores de 4.00 mts. y claros mayores de 5.00 mts.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5.     Edificaciones con estructuras metálicas.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6.     Edificaciones con estructuras especiales: losas pretensadas, losas reticulares, losas plegadas, cascarones, paredes de carga y otros.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7.     Muros de contención con alturas iguales o mayores de 2.00 mts. o cuando soporte edificaciones.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8.     Obras especiales como tanques, silos, chimeneas, piscinas, cisternas, y torres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9.     Edificaciones de una planta o más donde existan concentraciones frecuentes de público.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10.  Otros casos cuando la UPGOT considere necesario.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Memoria de cálculo hidráulico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103.- </w:t>
      </w:r>
      <w:r w:rsidRPr="00344803">
        <w:rPr>
          <w:rFonts w:ascii="Times New Roman" w:eastAsia="Times New Roman" w:hAnsi="Times New Roman" w:cs="Times New Roman"/>
          <w:sz w:val="24"/>
          <w:szCs w:val="24"/>
        </w:rPr>
        <w:t>Presentar para el trámite de Dictamen técnico de proyecto memoria de cálculo hidráulico (aguas lluvias, aguas negras y agua potable), urbanizaciones, parcelaciones, edificaciones de tres o más plantas, centros comerciales, complejos industriales y edificaciones de una o dos plantas donde existan concentraciones frecuentes de público.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Estudio de Suelos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104.- </w:t>
      </w:r>
      <w:r w:rsidRPr="00344803">
        <w:rPr>
          <w:rFonts w:ascii="Times New Roman" w:eastAsia="Times New Roman" w:hAnsi="Times New Roman" w:cs="Times New Roman"/>
          <w:sz w:val="24"/>
          <w:szCs w:val="24"/>
        </w:rPr>
        <w:t>Presentar para el trámite de Dictamen técnico de proyecto estudio de suelo para los proyectos de urbanización, edificaciones de tres o más plantas, centros comerciales, complejos industriales y edificaciones de una planta o más donde existan concentraciones frecuentes de público, parcelación y cuando La UPGOT considere necesario.</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CAPITULO 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RESPONSABILIDAD PROFESIONAL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Profesionales autorizados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105.- </w:t>
      </w:r>
      <w:r w:rsidRPr="00344803">
        <w:rPr>
          <w:rFonts w:ascii="Times New Roman" w:eastAsia="Times New Roman" w:hAnsi="Times New Roman" w:cs="Times New Roman"/>
          <w:sz w:val="24"/>
          <w:szCs w:val="24"/>
        </w:rPr>
        <w:t>Todo proyecto de urbanización, parcelación y construcción, u obra pública o privada, a excepción de las señaladas en la Ley de Urbanismo y Construcción, para ser construida deberá estar planificada por profesionales de la Ingeniería y la Arquitectura graduado de cualquiera de las universidades reconocidas por el Estado o incorporado a la Universidad de El Salvador, inscritos en el Registro Nacional de Arquitectos, Ingenieros, Proyectistas y Constructores del Ministerio de Vivienda.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Credenciales profesionales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106.- </w:t>
      </w:r>
      <w:r w:rsidRPr="00344803">
        <w:rPr>
          <w:rFonts w:ascii="Times New Roman" w:eastAsia="Times New Roman" w:hAnsi="Times New Roman" w:cs="Times New Roman"/>
          <w:sz w:val="24"/>
          <w:szCs w:val="24"/>
        </w:rPr>
        <w:t xml:space="preserve">Todo lo relativo a las </w:t>
      </w:r>
      <w:r w:rsidRPr="00344803">
        <w:rPr>
          <w:rFonts w:ascii="Times New Roman" w:eastAsia="Times New Roman" w:hAnsi="Times New Roman" w:cs="Times New Roman"/>
          <w:b/>
          <w:bCs/>
          <w:sz w:val="24"/>
          <w:szCs w:val="24"/>
        </w:rPr>
        <w:t xml:space="preserve">credenciales profesionales </w:t>
      </w:r>
      <w:r w:rsidRPr="00344803">
        <w:rPr>
          <w:rFonts w:ascii="Times New Roman" w:eastAsia="Times New Roman" w:hAnsi="Times New Roman" w:cs="Times New Roman"/>
          <w:sz w:val="24"/>
          <w:szCs w:val="24"/>
        </w:rPr>
        <w:t>quedará establecido en el Registro Nacional de Arquitectos, Ingenieros, Proyectistas y Constructores, que el Ministerio de Vivienda establece.</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Profesional responsable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107.- </w:t>
      </w:r>
      <w:r w:rsidRPr="00344803">
        <w:rPr>
          <w:rFonts w:ascii="Times New Roman" w:eastAsia="Times New Roman" w:hAnsi="Times New Roman" w:cs="Times New Roman"/>
          <w:sz w:val="24"/>
          <w:szCs w:val="24"/>
        </w:rPr>
        <w:t xml:space="preserve">Los proyectos de construcción o ampliaciones menores de 100 m2 serán firmados y sellados por un solo </w:t>
      </w:r>
      <w:r w:rsidRPr="00344803">
        <w:rPr>
          <w:rFonts w:ascii="Times New Roman" w:eastAsia="Times New Roman" w:hAnsi="Times New Roman" w:cs="Times New Roman"/>
          <w:b/>
          <w:bCs/>
          <w:sz w:val="24"/>
          <w:szCs w:val="24"/>
        </w:rPr>
        <w:t xml:space="preserve">profesional responsable </w:t>
      </w:r>
      <w:r w:rsidRPr="00344803">
        <w:rPr>
          <w:rFonts w:ascii="Times New Roman" w:eastAsia="Times New Roman" w:hAnsi="Times New Roman" w:cs="Times New Roman"/>
          <w:sz w:val="24"/>
          <w:szCs w:val="24"/>
        </w:rPr>
        <w:t>sea Arquitecto o Ingeniero Civil, para proyectos de construcción o ampliaciones igual o mayores a 100.00 m2 serán firmados y sellados por tres profesionales Arquitecto, Ingeniero Civil e Ingeniero Eléctrico, según sea su especialidad y responsabilidad.</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Obras de sistema mixto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108.- </w:t>
      </w:r>
      <w:r w:rsidRPr="00344803">
        <w:rPr>
          <w:rFonts w:ascii="Times New Roman" w:eastAsia="Times New Roman" w:hAnsi="Times New Roman" w:cs="Times New Roman"/>
          <w:sz w:val="24"/>
          <w:szCs w:val="24"/>
        </w:rPr>
        <w:t>Para las obras de sistema mixto o similar, de un solo piso, techos de lámina, para fines habitacionales y con un área de hasta 100.00 m2 de construcción, así como planos topográficos se requiere que sea presentado por un técnico de la rama de la ingeniería civil o de la arquitectura debidamente autorizado.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Responsabilidad profesional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109</w:t>
      </w:r>
      <w:r w:rsidRPr="00344803">
        <w:rPr>
          <w:rFonts w:ascii="Times New Roman" w:eastAsia="Times New Roman" w:hAnsi="Times New Roman" w:cs="Times New Roman"/>
          <w:sz w:val="24"/>
          <w:szCs w:val="24"/>
        </w:rPr>
        <w:t>.- Todo el proceso de la obra deberá estar bajo la responsabilidad de un profesional quien responderá en todo tiempo de cualquier infracción a las disposiciones de esta Ordenanza, la que compartirá con el propietario de la parcelación y/o construcción.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El constructor de la obra será el responsable de mantener una bitácora donde se anotarán las observaciones fechadas y firmadas, también será el responsable de comprobar que la calidad de los materiales y la resistencia del suelo sea la adecuada.</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CAPITULO III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ÁREAS DE DISEÑO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Áreas de diseño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110.- </w:t>
      </w:r>
      <w:r w:rsidRPr="00344803">
        <w:rPr>
          <w:rFonts w:ascii="Times New Roman" w:eastAsia="Times New Roman" w:hAnsi="Times New Roman" w:cs="Times New Roman"/>
          <w:sz w:val="24"/>
          <w:szCs w:val="24"/>
        </w:rPr>
        <w:t>Los correspondientes planos y documentos de toda edificación a realizar, deberán contener cuatro áreas de diseño: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1)    El diseño arquitectónico: </w:t>
      </w:r>
      <w:r w:rsidRPr="00344803">
        <w:rPr>
          <w:rFonts w:ascii="Times New Roman" w:eastAsia="Times New Roman" w:hAnsi="Times New Roman" w:cs="Times New Roman"/>
          <w:sz w:val="24"/>
          <w:szCs w:val="24"/>
        </w:rPr>
        <w:t xml:space="preserve">comprenderá la distribución espacial de las zonas, áreas y recintos que conforman el edificio; así como el diseño de todos los </w:t>
      </w:r>
      <w:r w:rsidRPr="00344803">
        <w:rPr>
          <w:rFonts w:ascii="Times New Roman" w:eastAsia="Times New Roman" w:hAnsi="Times New Roman" w:cs="Times New Roman"/>
          <w:sz w:val="24"/>
          <w:szCs w:val="24"/>
        </w:rPr>
        <w:lastRenderedPageBreak/>
        <w:t xml:space="preserve">componentes que conforman su superestructura o sean aquellos que delimitan o que conforman los recintos. </w:t>
      </w:r>
      <w:r w:rsidRPr="00344803">
        <w:rPr>
          <w:rFonts w:ascii="Times New Roman" w:eastAsia="Times New Roman" w:hAnsi="Times New Roman" w:cs="Times New Roman"/>
          <w:b/>
          <w:bCs/>
          <w:sz w:val="24"/>
          <w:szCs w:val="24"/>
        </w:rPr>
        <w:t>Esta área será responsabilidad de un Arquitecto.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2)    El diseño estructural</w:t>
      </w:r>
      <w:r w:rsidRPr="00344803">
        <w:rPr>
          <w:rFonts w:ascii="Times New Roman" w:eastAsia="Times New Roman" w:hAnsi="Times New Roman" w:cs="Times New Roman"/>
          <w:sz w:val="24"/>
          <w:szCs w:val="24"/>
        </w:rPr>
        <w:t xml:space="preserve">: comprenderá el cálculo de los componentes que conforman la estructura y la infraestructura del edificio. Es decir aquellos que son necesarios para soportarlo y transmitir sus cargas al suelo. </w:t>
      </w:r>
      <w:r w:rsidRPr="00344803">
        <w:rPr>
          <w:rFonts w:ascii="Times New Roman" w:eastAsia="Times New Roman" w:hAnsi="Times New Roman" w:cs="Times New Roman"/>
          <w:b/>
          <w:bCs/>
          <w:sz w:val="24"/>
          <w:szCs w:val="24"/>
        </w:rPr>
        <w:t>Esta área será responsabilidad de un Ingeniero Civil.</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3)    El diseño eléctrico</w:t>
      </w:r>
      <w:r w:rsidRPr="00344803">
        <w:rPr>
          <w:rFonts w:ascii="Times New Roman" w:eastAsia="Times New Roman" w:hAnsi="Times New Roman" w:cs="Times New Roman"/>
          <w:sz w:val="24"/>
          <w:szCs w:val="24"/>
        </w:rPr>
        <w:t xml:space="preserve">: comprenderá el cálculo relativo al sistema del suministro, transformación y distribución de energía eléctrica desde el punto de entrega del servicio público. </w:t>
      </w:r>
      <w:r w:rsidRPr="00344803">
        <w:rPr>
          <w:rFonts w:ascii="Times New Roman" w:eastAsia="Times New Roman" w:hAnsi="Times New Roman" w:cs="Times New Roman"/>
          <w:b/>
          <w:bCs/>
          <w:sz w:val="24"/>
          <w:szCs w:val="24"/>
        </w:rPr>
        <w:t>Esta área será responsabilidad de un Ingeniero Eléctrico.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4)    El diseño hidráulico</w:t>
      </w:r>
      <w:r w:rsidRPr="00344803">
        <w:rPr>
          <w:rFonts w:ascii="Times New Roman" w:eastAsia="Times New Roman" w:hAnsi="Times New Roman" w:cs="Times New Roman"/>
          <w:sz w:val="24"/>
          <w:szCs w:val="24"/>
        </w:rPr>
        <w:t xml:space="preserve">: comprenderá el cálculo relativo a los sistemas de agua potable, el drenaje de aguas servidas y el drenaje de aguas lluvias, desde el punto de conexión a las redes públicas correspondientes. </w:t>
      </w:r>
      <w:r w:rsidRPr="00344803">
        <w:rPr>
          <w:rFonts w:ascii="Times New Roman" w:eastAsia="Times New Roman" w:hAnsi="Times New Roman" w:cs="Times New Roman"/>
          <w:b/>
          <w:bCs/>
          <w:sz w:val="24"/>
          <w:szCs w:val="24"/>
        </w:rPr>
        <w:t>Esta área será responsabilidad de un Ingeniero Civil.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Superestructura e infraestructura urbana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111.- </w:t>
      </w:r>
      <w:r w:rsidRPr="00344803">
        <w:rPr>
          <w:rFonts w:ascii="Times New Roman" w:eastAsia="Times New Roman" w:hAnsi="Times New Roman" w:cs="Times New Roman"/>
          <w:sz w:val="24"/>
          <w:szCs w:val="24"/>
        </w:rPr>
        <w:t>Los juegos de planos de toda parcelación a ejecutar deberán contener dos áreas básicas de diseño: La superestructura urbana que será responsable de un Arquitecto, y la infraestructura urbana, que será responsable de un Ingeniero Civil, y se subdivide en diseño civil, eléctrico e hidráulico.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El diseño de la superestructura urbana, comprenderá todo lo relativo a uso del suelo y circulación vial, en la infraestructura urbana el diseño civil comprenderá las obras de estabilización de suelo y obras de protección; y los diseños eléctrico e hidráulico comprenderán lo relativo a dichos sistemas</w:t>
      </w:r>
      <w:r w:rsidRPr="00344803">
        <w:rPr>
          <w:rFonts w:ascii="Times New Roman" w:eastAsia="Times New Roman" w:hAnsi="Times New Roman" w:cs="Times New Roman"/>
          <w:b/>
          <w:bCs/>
          <w:sz w:val="24"/>
          <w:szCs w:val="24"/>
        </w:rPr>
        <w:t>.</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Profesional Responsable según área de diseño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112.- </w:t>
      </w:r>
      <w:r w:rsidRPr="00344803">
        <w:rPr>
          <w:rFonts w:ascii="Times New Roman" w:eastAsia="Times New Roman" w:hAnsi="Times New Roman" w:cs="Times New Roman"/>
          <w:sz w:val="24"/>
          <w:szCs w:val="24"/>
        </w:rPr>
        <w:t>Los planos y memorias de cálculo correspondientes a cada área de diseño, de los proyectos, deberán ser firmados y sellados por un profesional responsable idóneo a cada área de diseño, atendido a la siguiente distinción:</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1)    Diseño de la edificación profesional</w:t>
      </w:r>
    </w:p>
    <w:p w:rsidR="005B30A4" w:rsidRPr="00344803" w:rsidRDefault="005B30A4" w:rsidP="005B30A4">
      <w:pPr>
        <w:spacing w:before="120" w:line="240" w:lineRule="atLeast"/>
        <w:ind w:left="108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Arquitectónico - Arquitecto</w:t>
      </w:r>
    </w:p>
    <w:p w:rsidR="005B30A4" w:rsidRPr="00344803" w:rsidRDefault="005B30A4" w:rsidP="005B30A4">
      <w:pPr>
        <w:spacing w:before="120" w:line="240" w:lineRule="atLeast"/>
        <w:ind w:left="108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Estructural - Ingeniero Civil y/o Estructural</w:t>
      </w:r>
    </w:p>
    <w:p w:rsidR="005B30A4" w:rsidRPr="00344803" w:rsidRDefault="005B30A4" w:rsidP="005B30A4">
      <w:pPr>
        <w:spacing w:before="120" w:line="240" w:lineRule="atLeast"/>
        <w:ind w:left="108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     Eléctrico -Ingeniero Electricista</w:t>
      </w:r>
    </w:p>
    <w:p w:rsidR="005B30A4" w:rsidRPr="00344803" w:rsidRDefault="005B30A4" w:rsidP="005B30A4">
      <w:pPr>
        <w:spacing w:before="120" w:line="240" w:lineRule="atLeast"/>
        <w:ind w:left="108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    Hidráulico-Ingeniero Civil y/o Hidráulico</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2)    Diseño urbano profesional</w:t>
      </w:r>
    </w:p>
    <w:p w:rsidR="005B30A4" w:rsidRPr="00344803" w:rsidRDefault="005B30A4" w:rsidP="005B30A4">
      <w:pPr>
        <w:spacing w:before="120" w:line="240" w:lineRule="atLeast"/>
        <w:ind w:left="108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Superestructura Urbana- Arquitecto</w:t>
      </w:r>
    </w:p>
    <w:p w:rsidR="005B30A4" w:rsidRPr="00344803" w:rsidRDefault="005B30A4" w:rsidP="005B30A4">
      <w:pPr>
        <w:spacing w:before="120" w:line="240" w:lineRule="atLeast"/>
        <w:ind w:left="108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Infraestructura Urbana: Civil-Ingeniero Civil</w:t>
      </w:r>
    </w:p>
    <w:p w:rsidR="005B30A4" w:rsidRPr="00344803" w:rsidRDefault="005B30A4" w:rsidP="005B30A4">
      <w:pPr>
        <w:spacing w:before="120" w:line="240" w:lineRule="atLeast"/>
        <w:ind w:left="144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Eléctrico -Ingeniero Electricista</w:t>
      </w:r>
    </w:p>
    <w:p w:rsidR="005B30A4" w:rsidRPr="00344803" w:rsidRDefault="005B30A4" w:rsidP="005B30A4">
      <w:pPr>
        <w:spacing w:before="120" w:line="240" w:lineRule="atLeast"/>
        <w:ind w:left="144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Hidráulico- Ingeniero Civil y/o Hidráulico.</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TÍTULO VII</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TRÁMITES, PROCEDIMIENTOS Y APROBACIONES</w:t>
      </w:r>
    </w:p>
    <w:p w:rsidR="005B30A4" w:rsidRDefault="005B30A4" w:rsidP="005B30A4">
      <w:pPr>
        <w:spacing w:after="0"/>
        <w:jc w:val="center"/>
        <w:rPr>
          <w:rFonts w:ascii="Times New Roman" w:eastAsia="Times New Roman" w:hAnsi="Times New Roman" w:cs="Times New Roman"/>
          <w:b/>
          <w:bCs/>
          <w:sz w:val="24"/>
          <w:szCs w:val="24"/>
        </w:rPr>
      </w:pP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ÚNICO</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TRÁMITES, PROCEDIMIENTOS Y APROBACIONES</w:t>
      </w:r>
    </w:p>
    <w:p w:rsidR="005B30A4" w:rsidRPr="00344803" w:rsidRDefault="005B30A4" w:rsidP="005B30A4">
      <w:pPr>
        <w:spacing w:after="0"/>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Trámites en Instituciones Sectoriales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Art.113.- </w:t>
      </w:r>
      <w:r w:rsidRPr="00344803">
        <w:rPr>
          <w:rFonts w:ascii="Times New Roman" w:eastAsia="Times New Roman" w:hAnsi="Times New Roman" w:cs="Times New Roman"/>
          <w:sz w:val="24"/>
          <w:szCs w:val="24"/>
        </w:rPr>
        <w:t>Todo propietario de un proyecto de urbanización, parcelación, y/o construcción a desarrollarse en este municipio deberá realizar los trámites correspondientes en las instituciones sectoriales del Gobierno Central cuando así sea requerido. La UPGOT exigirá estos permisos en originales previos a la resolución del Dictamen Técnico de urbanización, parcelación y/o construcción.</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Trámites a realizar en la UPGOT.</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114.- </w:t>
      </w:r>
      <w:r w:rsidRPr="00344803">
        <w:rPr>
          <w:rFonts w:ascii="Times New Roman" w:eastAsia="Times New Roman" w:hAnsi="Times New Roman" w:cs="Times New Roman"/>
          <w:sz w:val="24"/>
          <w:szCs w:val="24"/>
        </w:rPr>
        <w:t>Toda persona natural o jurídica pública o privada que desee ejecutar un proyecto de urbanización, parcelación y/o Construcción deberá solicitar en la UPGOT los trámites en el siguiente orden:</w:t>
      </w:r>
    </w:p>
    <w:p w:rsidR="005B30A4" w:rsidRPr="00344803" w:rsidRDefault="005B30A4" w:rsidP="005B30A4">
      <w:pPr>
        <w:spacing w:before="120" w:line="240" w:lineRule="atLeast"/>
        <w:ind w:left="900" w:hanging="54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1ro.)    Factibilidad de Proyecto;</w:t>
      </w:r>
    </w:p>
    <w:p w:rsidR="005B30A4" w:rsidRPr="00344803" w:rsidRDefault="005B30A4" w:rsidP="005B30A4">
      <w:pPr>
        <w:spacing w:before="120" w:line="240" w:lineRule="atLeast"/>
        <w:ind w:left="900" w:hanging="54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2do.)   Dictamen Técnico de Proyecto;</w:t>
      </w:r>
    </w:p>
    <w:p w:rsidR="005B30A4" w:rsidRPr="00344803" w:rsidRDefault="005B30A4" w:rsidP="005B30A4">
      <w:pPr>
        <w:spacing w:before="120" w:line="240" w:lineRule="atLeast"/>
        <w:ind w:left="900" w:hanging="54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3ro.)    Recepción de Obras; y</w:t>
      </w:r>
    </w:p>
    <w:p w:rsidR="005B30A4" w:rsidRPr="00344803" w:rsidRDefault="005B30A4" w:rsidP="005B30A4">
      <w:pPr>
        <w:spacing w:before="120" w:line="240" w:lineRule="atLeast"/>
        <w:ind w:left="900" w:hanging="54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4to.)    Segregaciones simples.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1ro.) </w:t>
      </w:r>
      <w:r w:rsidRPr="00344803">
        <w:rPr>
          <w:rFonts w:ascii="Times New Roman" w:eastAsia="Times New Roman" w:hAnsi="Times New Roman" w:cs="Times New Roman"/>
          <w:sz w:val="24"/>
          <w:szCs w:val="24"/>
        </w:rPr>
        <w:t xml:space="preserve">La </w:t>
      </w:r>
      <w:r w:rsidRPr="00344803">
        <w:rPr>
          <w:rFonts w:ascii="Times New Roman" w:eastAsia="Times New Roman" w:hAnsi="Times New Roman" w:cs="Times New Roman"/>
          <w:b/>
          <w:bCs/>
          <w:sz w:val="24"/>
          <w:szCs w:val="24"/>
        </w:rPr>
        <w:t xml:space="preserve">Factibilidad de Proyecto </w:t>
      </w:r>
      <w:r w:rsidRPr="00344803">
        <w:rPr>
          <w:rFonts w:ascii="Times New Roman" w:eastAsia="Times New Roman" w:hAnsi="Times New Roman" w:cs="Times New Roman"/>
          <w:sz w:val="24"/>
          <w:szCs w:val="24"/>
        </w:rPr>
        <w:t>comprende:</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a)    </w:t>
      </w:r>
      <w:r w:rsidRPr="00344803">
        <w:rPr>
          <w:rFonts w:ascii="Times New Roman" w:eastAsia="Times New Roman" w:hAnsi="Times New Roman" w:cs="Times New Roman"/>
          <w:b/>
          <w:bCs/>
          <w:i/>
          <w:iCs/>
          <w:sz w:val="24"/>
          <w:szCs w:val="24"/>
        </w:rPr>
        <w:t>Trámite de Calificación de lugar</w:t>
      </w:r>
      <w:r w:rsidRPr="00344803">
        <w:rPr>
          <w:rFonts w:ascii="Times New Roman" w:eastAsia="Times New Roman" w:hAnsi="Times New Roman" w:cs="Times New Roman"/>
          <w:sz w:val="24"/>
          <w:szCs w:val="24"/>
        </w:rPr>
        <w:t>: Es el trámite mediante el cual se define los usos de suelo a un inmueble, de acuerdo al mapa Normativo de Usos del Suelo, a la Matriz de Compatibilidad de Usos y demás leyes de la materia.</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b)    </w:t>
      </w:r>
      <w:r w:rsidRPr="00344803">
        <w:rPr>
          <w:rFonts w:ascii="Times New Roman" w:eastAsia="Times New Roman" w:hAnsi="Times New Roman" w:cs="Times New Roman"/>
          <w:b/>
          <w:bCs/>
          <w:i/>
          <w:iCs/>
          <w:sz w:val="24"/>
          <w:szCs w:val="24"/>
        </w:rPr>
        <w:t>Trámite de Línea de Construcción</w:t>
      </w:r>
      <w:r w:rsidRPr="00344803">
        <w:rPr>
          <w:rFonts w:ascii="Times New Roman" w:eastAsia="Times New Roman" w:hAnsi="Times New Roman" w:cs="Times New Roman"/>
          <w:sz w:val="24"/>
          <w:szCs w:val="24"/>
        </w:rPr>
        <w:t>: Es el trámite mediante el cual se señalan los derechos de vía a un inmueble, de acuerdo con un plan general de vialidad y demás leyes y reglamentos de la materia.</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c)     </w:t>
      </w:r>
      <w:r w:rsidRPr="00344803">
        <w:rPr>
          <w:rFonts w:ascii="Times New Roman" w:eastAsia="Times New Roman" w:hAnsi="Times New Roman" w:cs="Times New Roman"/>
          <w:b/>
          <w:bCs/>
          <w:i/>
          <w:iCs/>
          <w:sz w:val="24"/>
          <w:szCs w:val="24"/>
        </w:rPr>
        <w:t>Trámite de Factibilidad de Drenaje de Aguas Lluvias</w:t>
      </w:r>
      <w:r w:rsidRPr="00344803">
        <w:rPr>
          <w:rFonts w:ascii="Times New Roman" w:eastAsia="Times New Roman" w:hAnsi="Times New Roman" w:cs="Times New Roman"/>
          <w:sz w:val="24"/>
          <w:szCs w:val="24"/>
        </w:rPr>
        <w:t>: Es el trámite mediante el cual se señala la posibilidad de conexión y sitio de descarga de las aguas lluvias a un inmueble, de acuerdo con un plan de manejo y demás leyes de la materia.</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d)    </w:t>
      </w:r>
      <w:r w:rsidRPr="00344803">
        <w:rPr>
          <w:rFonts w:ascii="Times New Roman" w:eastAsia="Times New Roman" w:hAnsi="Times New Roman" w:cs="Times New Roman"/>
          <w:b/>
          <w:bCs/>
          <w:i/>
          <w:iCs/>
          <w:sz w:val="24"/>
          <w:szCs w:val="24"/>
        </w:rPr>
        <w:t>Trámite de Revisión Vial y Zonificación</w:t>
      </w:r>
      <w:r w:rsidRPr="00344803">
        <w:rPr>
          <w:rFonts w:ascii="Times New Roman" w:eastAsia="Times New Roman" w:hAnsi="Times New Roman" w:cs="Times New Roman"/>
          <w:sz w:val="24"/>
          <w:szCs w:val="24"/>
        </w:rPr>
        <w:t>: Es el trámite mediante el cual se garantiza la compatibilidad y complementariedad de los usos de suelos y la integración adecuada a la red vial de acceso con las vías de circulación mayor y en general con las vías y zonas existentes.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trámites de Factibilidad de Proyectos a), b) y c) podrán hacerse simultáneamente en una sola solicitud inicial.</w:t>
      </w:r>
    </w:p>
    <w:p w:rsidR="005B30A4" w:rsidRPr="00744586" w:rsidRDefault="005B30A4" w:rsidP="005B30A4">
      <w:pPr>
        <w:rPr>
          <w:rFonts w:ascii="Times New Roman" w:eastAsia="Times New Roman" w:hAnsi="Times New Roman" w:cs="Times New Roman"/>
          <w:sz w:val="23"/>
          <w:szCs w:val="23"/>
        </w:rPr>
      </w:pPr>
      <w:r w:rsidRPr="00344803">
        <w:rPr>
          <w:rFonts w:ascii="Times New Roman" w:eastAsia="Times New Roman" w:hAnsi="Times New Roman" w:cs="Times New Roman"/>
          <w:b/>
          <w:bCs/>
          <w:sz w:val="24"/>
          <w:szCs w:val="24"/>
        </w:rPr>
        <w:t>2do</w:t>
      </w:r>
      <w:r w:rsidRPr="00744586">
        <w:rPr>
          <w:rFonts w:ascii="Times New Roman" w:eastAsia="Times New Roman" w:hAnsi="Times New Roman" w:cs="Times New Roman"/>
          <w:b/>
          <w:bCs/>
          <w:sz w:val="23"/>
          <w:szCs w:val="23"/>
        </w:rPr>
        <w:t>.) El Dictamen Técnico de Proyecto comprende, según sea el caso:</w:t>
      </w:r>
    </w:p>
    <w:p w:rsidR="005B30A4" w:rsidRPr="00744586" w:rsidRDefault="005B30A4" w:rsidP="005B30A4">
      <w:pPr>
        <w:spacing w:before="120" w:line="240" w:lineRule="atLeast"/>
        <w:ind w:left="720" w:hanging="360"/>
        <w:jc w:val="both"/>
        <w:rPr>
          <w:rFonts w:ascii="Times New Roman" w:eastAsia="Times New Roman" w:hAnsi="Times New Roman" w:cs="Times New Roman"/>
          <w:sz w:val="23"/>
          <w:szCs w:val="23"/>
        </w:rPr>
      </w:pPr>
      <w:r w:rsidRPr="00744586">
        <w:rPr>
          <w:rFonts w:ascii="Times New Roman" w:eastAsia="Times New Roman" w:hAnsi="Times New Roman" w:cs="Times New Roman"/>
          <w:sz w:val="23"/>
          <w:szCs w:val="23"/>
        </w:rPr>
        <w:t xml:space="preserve">a)    </w:t>
      </w:r>
      <w:r w:rsidRPr="00744586">
        <w:rPr>
          <w:rFonts w:ascii="Times New Roman" w:eastAsia="Times New Roman" w:hAnsi="Times New Roman" w:cs="Times New Roman"/>
          <w:b/>
          <w:bCs/>
          <w:i/>
          <w:iCs/>
          <w:sz w:val="23"/>
          <w:szCs w:val="23"/>
        </w:rPr>
        <w:t>Dictamen técnico para la Aprobación de urbanización o Parcelación</w:t>
      </w:r>
      <w:r w:rsidRPr="00744586">
        <w:rPr>
          <w:rFonts w:ascii="Times New Roman" w:eastAsia="Times New Roman" w:hAnsi="Times New Roman" w:cs="Times New Roman"/>
          <w:i/>
          <w:iCs/>
          <w:sz w:val="23"/>
          <w:szCs w:val="23"/>
        </w:rPr>
        <w:t xml:space="preserve">: </w:t>
      </w:r>
      <w:r w:rsidRPr="00744586">
        <w:rPr>
          <w:rFonts w:ascii="Times New Roman" w:eastAsia="Times New Roman" w:hAnsi="Times New Roman" w:cs="Times New Roman"/>
          <w:sz w:val="23"/>
          <w:szCs w:val="23"/>
        </w:rPr>
        <w:t>Es el instrumento mediante el cual se garantiza el cumplimiento de las normas de parcelación o división de lotes establecida.</w:t>
      </w:r>
    </w:p>
    <w:p w:rsidR="005B30A4" w:rsidRPr="00744586" w:rsidRDefault="005B30A4" w:rsidP="005B30A4">
      <w:pPr>
        <w:spacing w:before="120" w:line="240" w:lineRule="atLeast"/>
        <w:ind w:left="720" w:hanging="360"/>
        <w:jc w:val="both"/>
        <w:rPr>
          <w:rFonts w:ascii="Times New Roman" w:eastAsia="Times New Roman" w:hAnsi="Times New Roman" w:cs="Times New Roman"/>
          <w:sz w:val="23"/>
          <w:szCs w:val="23"/>
        </w:rPr>
      </w:pPr>
      <w:r w:rsidRPr="00744586">
        <w:rPr>
          <w:rFonts w:ascii="Times New Roman" w:eastAsia="Times New Roman" w:hAnsi="Times New Roman" w:cs="Times New Roman"/>
          <w:sz w:val="23"/>
          <w:szCs w:val="23"/>
        </w:rPr>
        <w:lastRenderedPageBreak/>
        <w:t xml:space="preserve">b)    </w:t>
      </w:r>
      <w:r w:rsidRPr="00744586">
        <w:rPr>
          <w:rFonts w:ascii="Times New Roman" w:eastAsia="Times New Roman" w:hAnsi="Times New Roman" w:cs="Times New Roman"/>
          <w:b/>
          <w:bCs/>
          <w:i/>
          <w:iCs/>
          <w:sz w:val="23"/>
          <w:szCs w:val="23"/>
        </w:rPr>
        <w:t xml:space="preserve">Dictamen técnico para la Aprobación de Construcción, ampliaciones, remodelaciones o mejoras de obras existentes o nuevas iguales o mayores a 75.00 metros cuadrados: </w:t>
      </w:r>
      <w:r w:rsidRPr="00744586">
        <w:rPr>
          <w:rFonts w:ascii="Times New Roman" w:eastAsia="Times New Roman" w:hAnsi="Times New Roman" w:cs="Times New Roman"/>
          <w:sz w:val="23"/>
          <w:szCs w:val="23"/>
        </w:rPr>
        <w:t>Es el instrumento mediante el cual se garantiza el cumplimiento de las normas de construcción establecidas.</w:t>
      </w:r>
    </w:p>
    <w:p w:rsidR="005B30A4" w:rsidRPr="00744586" w:rsidRDefault="005B30A4" w:rsidP="005B30A4">
      <w:pPr>
        <w:rPr>
          <w:rFonts w:ascii="Times New Roman" w:eastAsia="Times New Roman" w:hAnsi="Times New Roman" w:cs="Times New Roman"/>
          <w:sz w:val="23"/>
          <w:szCs w:val="23"/>
        </w:rPr>
      </w:pPr>
      <w:r w:rsidRPr="00744586">
        <w:rPr>
          <w:rFonts w:ascii="Times New Roman" w:eastAsia="Times New Roman" w:hAnsi="Times New Roman" w:cs="Times New Roman"/>
          <w:b/>
          <w:bCs/>
          <w:sz w:val="23"/>
          <w:szCs w:val="23"/>
        </w:rPr>
        <w:t>3ro.) La Recepción de Obras Comprende según sea el caso:</w:t>
      </w:r>
    </w:p>
    <w:p w:rsidR="005B30A4" w:rsidRPr="00744586" w:rsidRDefault="005B30A4" w:rsidP="005B30A4">
      <w:pPr>
        <w:spacing w:before="120" w:line="240" w:lineRule="atLeast"/>
        <w:ind w:left="720" w:hanging="360"/>
        <w:jc w:val="both"/>
        <w:rPr>
          <w:rFonts w:ascii="Times New Roman" w:eastAsia="Times New Roman" w:hAnsi="Times New Roman" w:cs="Times New Roman"/>
          <w:sz w:val="23"/>
          <w:szCs w:val="23"/>
        </w:rPr>
      </w:pPr>
      <w:r w:rsidRPr="00744586">
        <w:rPr>
          <w:rFonts w:ascii="Times New Roman" w:eastAsia="Times New Roman" w:hAnsi="Times New Roman" w:cs="Times New Roman"/>
          <w:i/>
          <w:iCs/>
          <w:sz w:val="23"/>
          <w:szCs w:val="23"/>
        </w:rPr>
        <w:t xml:space="preserve">a)    </w:t>
      </w:r>
      <w:r w:rsidRPr="00744586">
        <w:rPr>
          <w:rFonts w:ascii="Times New Roman" w:eastAsia="Times New Roman" w:hAnsi="Times New Roman" w:cs="Times New Roman"/>
          <w:b/>
          <w:bCs/>
          <w:i/>
          <w:iCs/>
          <w:sz w:val="23"/>
          <w:szCs w:val="23"/>
        </w:rPr>
        <w:t xml:space="preserve">Trámite de Recepción de Obra de Parcelación: </w:t>
      </w:r>
      <w:r w:rsidRPr="00744586">
        <w:rPr>
          <w:rFonts w:ascii="Times New Roman" w:eastAsia="Times New Roman" w:hAnsi="Times New Roman" w:cs="Times New Roman"/>
          <w:sz w:val="23"/>
          <w:szCs w:val="23"/>
        </w:rPr>
        <w:t>Es el instrumento por medio del cual se hace constar que un proyecto ha cumplido los requisitos de parcelación establecidos en la aprobación de la parcelación y está listo para funcionar o ser comercializado.</w:t>
      </w:r>
    </w:p>
    <w:p w:rsidR="005B30A4" w:rsidRPr="00744586" w:rsidRDefault="005B30A4" w:rsidP="005B30A4">
      <w:pPr>
        <w:spacing w:before="120" w:line="240" w:lineRule="atLeast"/>
        <w:ind w:left="720" w:hanging="360"/>
        <w:jc w:val="both"/>
        <w:rPr>
          <w:rFonts w:ascii="Times New Roman" w:eastAsia="Times New Roman" w:hAnsi="Times New Roman" w:cs="Times New Roman"/>
          <w:sz w:val="23"/>
          <w:szCs w:val="23"/>
        </w:rPr>
      </w:pPr>
      <w:r w:rsidRPr="00744586">
        <w:rPr>
          <w:rFonts w:ascii="Times New Roman" w:eastAsia="Times New Roman" w:hAnsi="Times New Roman" w:cs="Times New Roman"/>
          <w:i/>
          <w:iCs/>
          <w:sz w:val="23"/>
          <w:szCs w:val="23"/>
        </w:rPr>
        <w:t xml:space="preserve">b)    </w:t>
      </w:r>
      <w:r w:rsidRPr="00744586">
        <w:rPr>
          <w:rFonts w:ascii="Times New Roman" w:eastAsia="Times New Roman" w:hAnsi="Times New Roman" w:cs="Times New Roman"/>
          <w:b/>
          <w:bCs/>
          <w:i/>
          <w:iCs/>
          <w:sz w:val="23"/>
          <w:szCs w:val="23"/>
        </w:rPr>
        <w:t xml:space="preserve">Trámite de Recepción de Obra de Construcción: </w:t>
      </w:r>
      <w:r w:rsidRPr="00744586">
        <w:rPr>
          <w:rFonts w:ascii="Times New Roman" w:eastAsia="Times New Roman" w:hAnsi="Times New Roman" w:cs="Times New Roman"/>
          <w:sz w:val="23"/>
          <w:szCs w:val="23"/>
        </w:rPr>
        <w:t>Es el instrumento por medio del cual se hace constar que un proyecto ha cumplido los requisitos de construcción establecidos en la aprobación de la construcción y está listo para funcionar y ser habitado.</w:t>
      </w:r>
    </w:p>
    <w:p w:rsidR="005B30A4" w:rsidRPr="00744586" w:rsidRDefault="005B30A4" w:rsidP="005B30A4">
      <w:pPr>
        <w:spacing w:line="283" w:lineRule="auto"/>
        <w:ind w:left="128" w:right="471" w:hanging="7"/>
        <w:jc w:val="both"/>
        <w:rPr>
          <w:rFonts w:ascii="Times New Roman" w:eastAsia="Times New Roman" w:hAnsi="Times New Roman" w:cs="Times New Roman"/>
          <w:sz w:val="23"/>
          <w:szCs w:val="23"/>
        </w:rPr>
      </w:pPr>
      <w:r w:rsidRPr="00744586">
        <w:rPr>
          <w:rFonts w:ascii="Times New Roman" w:eastAsia="Times New Roman" w:hAnsi="Times New Roman" w:cs="Times New Roman"/>
          <w:b/>
          <w:bCs/>
          <w:sz w:val="23"/>
          <w:szCs w:val="23"/>
        </w:rPr>
        <w:t>4to.) Segregación Simple</w:t>
      </w:r>
      <w:r w:rsidRPr="00744586">
        <w:rPr>
          <w:rFonts w:ascii="Times New Roman" w:eastAsia="Arial" w:hAnsi="Times New Roman" w:cs="Times New Roman"/>
          <w:sz w:val="23"/>
          <w:szCs w:val="23"/>
        </w:rPr>
        <w:t>:</w:t>
      </w:r>
      <w:r w:rsidRPr="00744586">
        <w:rPr>
          <w:rFonts w:ascii="Times New Roman" w:eastAsia="Times New Roman" w:hAnsi="Times New Roman" w:cs="Times New Roman"/>
          <w:sz w:val="23"/>
          <w:szCs w:val="23"/>
        </w:rPr>
        <w:t>El instrumento mediante el cual se verificará los procesos de Segregaciones por donación y familiares sin fines de lucro o ventas aisladas.</w:t>
      </w:r>
    </w:p>
    <w:p w:rsidR="005B30A4" w:rsidRPr="00744586" w:rsidRDefault="005B30A4" w:rsidP="005B30A4">
      <w:pPr>
        <w:spacing w:before="120" w:line="240" w:lineRule="atLeast"/>
        <w:ind w:firstLine="360"/>
        <w:jc w:val="both"/>
        <w:rPr>
          <w:rFonts w:ascii="Times New Roman" w:eastAsia="Times New Roman" w:hAnsi="Times New Roman" w:cs="Times New Roman"/>
          <w:sz w:val="23"/>
          <w:szCs w:val="23"/>
        </w:rPr>
      </w:pPr>
      <w:r w:rsidRPr="00744586">
        <w:rPr>
          <w:rFonts w:ascii="Times New Roman" w:eastAsia="Times New Roman" w:hAnsi="Times New Roman" w:cs="Times New Roman"/>
          <w:sz w:val="23"/>
          <w:szCs w:val="23"/>
        </w:rPr>
        <w:t>Las solicitudes para efectuar los trámites antes mencionados se harán en los formularios correspondientes, en los cuales se establecerá los requisitos a cumplir en cada uno de éstos, éstos deberán presentarse en original. Para realizar cualquier tipo de trámite deberá presentar la Solvencia Municipal del inmueble sea persona natural o jurídica donde se realizará el proyecto.</w:t>
      </w:r>
    </w:p>
    <w:p w:rsidR="005B30A4" w:rsidRPr="00744586" w:rsidRDefault="005B30A4" w:rsidP="005B30A4">
      <w:pPr>
        <w:rPr>
          <w:rFonts w:ascii="Times New Roman" w:eastAsia="Times New Roman" w:hAnsi="Times New Roman" w:cs="Times New Roman"/>
          <w:sz w:val="23"/>
          <w:szCs w:val="23"/>
        </w:rPr>
      </w:pPr>
      <w:r w:rsidRPr="00744586">
        <w:rPr>
          <w:rFonts w:ascii="Times New Roman" w:eastAsia="Times New Roman" w:hAnsi="Times New Roman" w:cs="Times New Roman"/>
          <w:b/>
          <w:bCs/>
          <w:sz w:val="23"/>
          <w:szCs w:val="23"/>
        </w:rPr>
        <w:t>Calificación del Lugar</w:t>
      </w:r>
    </w:p>
    <w:p w:rsidR="005B30A4" w:rsidRPr="00744586" w:rsidRDefault="005B30A4" w:rsidP="005B30A4">
      <w:pPr>
        <w:spacing w:before="120" w:line="240" w:lineRule="atLeast"/>
        <w:ind w:firstLine="360"/>
        <w:jc w:val="both"/>
        <w:rPr>
          <w:rFonts w:ascii="Times New Roman" w:eastAsia="Times New Roman" w:hAnsi="Times New Roman" w:cs="Times New Roman"/>
          <w:sz w:val="23"/>
          <w:szCs w:val="23"/>
        </w:rPr>
      </w:pPr>
      <w:r w:rsidRPr="00744586">
        <w:rPr>
          <w:rFonts w:ascii="Times New Roman" w:eastAsia="Times New Roman" w:hAnsi="Times New Roman" w:cs="Times New Roman"/>
          <w:b/>
          <w:bCs/>
          <w:sz w:val="23"/>
          <w:szCs w:val="23"/>
        </w:rPr>
        <w:t xml:space="preserve">Art. 115.- </w:t>
      </w:r>
      <w:r w:rsidRPr="00744586">
        <w:rPr>
          <w:rFonts w:ascii="Times New Roman" w:eastAsia="Times New Roman" w:hAnsi="Times New Roman" w:cs="Times New Roman"/>
          <w:sz w:val="23"/>
          <w:szCs w:val="23"/>
        </w:rPr>
        <w:t>Toda nueva actividad que se realice en este municipio deberá tramitar la Calificación del Lugar en la UPGOT, como requisito para poder construir una nueva edificación o realizar un cambio de actividad en inmuebles existentes.</w:t>
      </w:r>
    </w:p>
    <w:p w:rsidR="005B30A4" w:rsidRPr="00744586" w:rsidRDefault="005B30A4" w:rsidP="005B30A4">
      <w:pPr>
        <w:rPr>
          <w:rFonts w:ascii="Times New Roman" w:eastAsia="Times New Roman" w:hAnsi="Times New Roman" w:cs="Times New Roman"/>
          <w:sz w:val="23"/>
          <w:szCs w:val="23"/>
        </w:rPr>
      </w:pPr>
      <w:r w:rsidRPr="00744586">
        <w:rPr>
          <w:rFonts w:ascii="Times New Roman" w:eastAsia="Times New Roman" w:hAnsi="Times New Roman" w:cs="Times New Roman"/>
          <w:b/>
          <w:bCs/>
          <w:sz w:val="23"/>
          <w:szCs w:val="23"/>
        </w:rPr>
        <w:t>Línea de Construcción</w:t>
      </w:r>
    </w:p>
    <w:p w:rsidR="005B30A4" w:rsidRPr="00744586" w:rsidRDefault="005B30A4" w:rsidP="005B30A4">
      <w:pPr>
        <w:spacing w:before="120" w:line="240" w:lineRule="atLeast"/>
        <w:ind w:firstLine="360"/>
        <w:jc w:val="both"/>
        <w:rPr>
          <w:rFonts w:ascii="Times New Roman" w:eastAsia="Times New Roman" w:hAnsi="Times New Roman" w:cs="Times New Roman"/>
          <w:sz w:val="23"/>
          <w:szCs w:val="23"/>
        </w:rPr>
      </w:pPr>
      <w:r w:rsidRPr="00744586">
        <w:rPr>
          <w:rFonts w:ascii="Times New Roman" w:eastAsia="Times New Roman" w:hAnsi="Times New Roman" w:cs="Times New Roman"/>
          <w:b/>
          <w:bCs/>
          <w:sz w:val="23"/>
          <w:szCs w:val="23"/>
        </w:rPr>
        <w:t xml:space="preserve">Art. 116.- </w:t>
      </w:r>
      <w:r w:rsidRPr="00744586">
        <w:rPr>
          <w:rFonts w:ascii="Times New Roman" w:eastAsia="Times New Roman" w:hAnsi="Times New Roman" w:cs="Times New Roman"/>
          <w:sz w:val="23"/>
          <w:szCs w:val="23"/>
        </w:rPr>
        <w:t>Toda persona natural o jurídica pública o privada deberá tramitar la Línea de Construcción en la UPGOT cuando el proyecto se ubique frente a una vía de circulación vehicular, cuando se ubique sobre vía y/o servidumbre de paso o cuando se ubique en el centro histórico del municipio.</w:t>
      </w:r>
    </w:p>
    <w:p w:rsidR="005B30A4" w:rsidRPr="00744586" w:rsidRDefault="005B30A4" w:rsidP="005B30A4">
      <w:pPr>
        <w:rPr>
          <w:rFonts w:ascii="Times New Roman" w:eastAsia="Times New Roman" w:hAnsi="Times New Roman" w:cs="Times New Roman"/>
          <w:sz w:val="23"/>
          <w:szCs w:val="23"/>
        </w:rPr>
      </w:pPr>
      <w:r w:rsidRPr="00744586">
        <w:rPr>
          <w:rFonts w:ascii="Times New Roman" w:eastAsia="Times New Roman" w:hAnsi="Times New Roman" w:cs="Times New Roman"/>
          <w:b/>
          <w:bCs/>
          <w:sz w:val="23"/>
          <w:szCs w:val="23"/>
        </w:rPr>
        <w:t>Revisión Vial y Zonificación</w:t>
      </w:r>
    </w:p>
    <w:p w:rsidR="005B30A4" w:rsidRPr="00744586" w:rsidRDefault="005B30A4" w:rsidP="005B30A4">
      <w:pPr>
        <w:spacing w:before="120" w:line="240" w:lineRule="atLeast"/>
        <w:ind w:firstLine="360"/>
        <w:jc w:val="both"/>
        <w:rPr>
          <w:rFonts w:ascii="Times New Roman" w:eastAsia="Times New Roman" w:hAnsi="Times New Roman" w:cs="Times New Roman"/>
          <w:sz w:val="23"/>
          <w:szCs w:val="23"/>
        </w:rPr>
      </w:pPr>
      <w:r w:rsidRPr="00744586">
        <w:rPr>
          <w:rFonts w:ascii="Times New Roman" w:eastAsia="Times New Roman" w:hAnsi="Times New Roman" w:cs="Times New Roman"/>
          <w:b/>
          <w:bCs/>
          <w:sz w:val="23"/>
          <w:szCs w:val="23"/>
        </w:rPr>
        <w:t xml:space="preserve">Art. 117.- </w:t>
      </w:r>
      <w:r w:rsidRPr="00744586">
        <w:rPr>
          <w:rFonts w:ascii="Times New Roman" w:eastAsia="Times New Roman" w:hAnsi="Times New Roman" w:cs="Times New Roman"/>
          <w:sz w:val="23"/>
          <w:szCs w:val="23"/>
        </w:rPr>
        <w:t>Para el trámite de Revisión Vial y Zonificación la UPGOT, enviará al Concejo Municipal un juego completo del expediente para que el Concejo Municipal analice y envíe en un plazo de 10 días hábiles el Acuerdo Municipal con las observaciones técnicas las que deberán estar enmarcadas en el PDT La Paz.</w:t>
      </w:r>
    </w:p>
    <w:p w:rsidR="005B30A4" w:rsidRDefault="005B30A4" w:rsidP="005B30A4">
      <w:pPr>
        <w:rPr>
          <w:rFonts w:ascii="Times New Roman" w:eastAsia="Times New Roman" w:hAnsi="Times New Roman" w:cs="Times New Roman"/>
          <w:b/>
          <w:bCs/>
          <w:sz w:val="24"/>
          <w:szCs w:val="24"/>
        </w:rPr>
      </w:pPr>
    </w:p>
    <w:p w:rsidR="005B30A4" w:rsidRPr="00CE1D49" w:rsidRDefault="005B30A4" w:rsidP="005B30A4">
      <w:pPr>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Permiso de Parcelación y/o Construcción</w:t>
      </w:r>
    </w:p>
    <w:p w:rsidR="005B30A4" w:rsidRPr="00CE1D49" w:rsidRDefault="005B30A4" w:rsidP="005B30A4">
      <w:pPr>
        <w:spacing w:before="120" w:line="240" w:lineRule="atLeast"/>
        <w:ind w:firstLine="360"/>
        <w:jc w:val="both"/>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Art. 118</w:t>
      </w:r>
      <w:r w:rsidRPr="00CE1D49">
        <w:rPr>
          <w:rFonts w:ascii="Times New Roman" w:eastAsia="Times New Roman" w:hAnsi="Times New Roman" w:cs="Times New Roman"/>
          <w:sz w:val="23"/>
          <w:szCs w:val="23"/>
        </w:rPr>
        <w:t>.- Cuando el Dictamen Técnico sea favorable, la UPGOT entregará una notificación al propietario o profesional responsable del proyecto para que proceda a cancelar el pago respectivo de la tasa de Licencia del proyecto de urbanización, parcelación y/o construcción en la Alcaldía previo a la emisión del Permiso y posteriormente el interesado podrá retirar el dictamen técnico con el permiso correspondiente de la alcaldía en la UPGOT.</w:t>
      </w:r>
    </w:p>
    <w:p w:rsidR="005B30A4" w:rsidRPr="00CE1D49" w:rsidRDefault="005B30A4" w:rsidP="005B30A4">
      <w:pPr>
        <w:spacing w:before="120" w:line="240" w:lineRule="atLeast"/>
        <w:ind w:firstLine="360"/>
        <w:jc w:val="both"/>
        <w:rPr>
          <w:rFonts w:ascii="Times New Roman" w:eastAsia="Times New Roman" w:hAnsi="Times New Roman" w:cs="Times New Roman"/>
          <w:sz w:val="23"/>
          <w:szCs w:val="23"/>
        </w:rPr>
      </w:pPr>
      <w:r w:rsidRPr="00CE1D49">
        <w:rPr>
          <w:rFonts w:ascii="Times New Roman" w:eastAsia="Times New Roman" w:hAnsi="Times New Roman" w:cs="Times New Roman"/>
          <w:sz w:val="23"/>
          <w:szCs w:val="23"/>
        </w:rPr>
        <w:lastRenderedPageBreak/>
        <w:t>El permiso de urbanización, parcelación y/o Construcción consistirá en la firma y sello del Alcalde en los planos correspondientes y resolución donde se indica el permiso de ejecución de obras.</w:t>
      </w:r>
    </w:p>
    <w:p w:rsidR="005B30A4" w:rsidRPr="00CE1D49" w:rsidRDefault="005B30A4" w:rsidP="005B30A4">
      <w:pPr>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Proyectos que no requieren Dictamen Técnico de la UPGOT.</w:t>
      </w:r>
    </w:p>
    <w:p w:rsidR="005B30A4" w:rsidRPr="00CE1D49" w:rsidRDefault="005B30A4" w:rsidP="005B30A4">
      <w:pPr>
        <w:spacing w:before="120" w:line="240" w:lineRule="atLeast"/>
        <w:ind w:firstLine="360"/>
        <w:jc w:val="both"/>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 xml:space="preserve">Art. 119.- </w:t>
      </w:r>
      <w:r w:rsidRPr="00CE1D49">
        <w:rPr>
          <w:rFonts w:ascii="Times New Roman" w:eastAsia="Times New Roman" w:hAnsi="Times New Roman" w:cs="Times New Roman"/>
          <w:sz w:val="23"/>
          <w:szCs w:val="23"/>
        </w:rPr>
        <w:t>Los proyectos de construcción nueva, ampliación, remodelación o mejoras de las edificaciones existentes menores a 75.00 m2, que sea en primer nivel, que no concentre público, que sea solo una unidad, que no sea uso comercial ni industrial, que la estructura de techo sea de madera o metálica, deberán tramitar el Permiso de Construcción extendido por la Alcaldía Municipal de esta localidad.</w:t>
      </w:r>
    </w:p>
    <w:p w:rsidR="005B30A4" w:rsidRPr="00CE1D49" w:rsidRDefault="005B30A4" w:rsidP="005B30A4">
      <w:pPr>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Recepción de Obras</w:t>
      </w:r>
    </w:p>
    <w:p w:rsidR="005B30A4" w:rsidRPr="00CE1D49" w:rsidRDefault="005B30A4" w:rsidP="005B30A4">
      <w:pPr>
        <w:spacing w:before="120" w:line="240" w:lineRule="atLeast"/>
        <w:ind w:firstLine="360"/>
        <w:jc w:val="both"/>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 xml:space="preserve">Art. 120.- </w:t>
      </w:r>
      <w:r w:rsidRPr="00CE1D49">
        <w:rPr>
          <w:rFonts w:ascii="Times New Roman" w:eastAsia="Times New Roman" w:hAnsi="Times New Roman" w:cs="Times New Roman"/>
          <w:sz w:val="23"/>
          <w:szCs w:val="23"/>
        </w:rPr>
        <w:t>Toda persona natural o jurídica pública o privada que desee habilitar un proyecto de urbanización, parcelación y/o construcción deberá tramitar la Recepción de Obras en la UPGOT, debiendo presentar el constructor la escritura de donación de áreas verdes y de equipamiento social a favor de la Alcaldía Municipal si corresponde, la bitácora debidamente llena y firmada por los inspectores y profesionales responsables, los certificados de los laboratorios de suelos y materiales, la constancia de recepción de los servicios públicos, y otros documentos requeridos por la UPGOT.</w:t>
      </w:r>
    </w:p>
    <w:p w:rsidR="005B30A4" w:rsidRPr="00CE1D49" w:rsidRDefault="005B30A4" w:rsidP="005B30A4">
      <w:pPr>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Entidades que Financian Proyectos</w:t>
      </w:r>
    </w:p>
    <w:p w:rsidR="005B30A4" w:rsidRPr="00CE1D49" w:rsidRDefault="005B30A4" w:rsidP="005B30A4">
      <w:pPr>
        <w:spacing w:before="120" w:line="240" w:lineRule="atLeast"/>
        <w:ind w:firstLine="360"/>
        <w:jc w:val="both"/>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 xml:space="preserve">Art. 121.- </w:t>
      </w:r>
      <w:r w:rsidRPr="00CE1D49">
        <w:rPr>
          <w:rFonts w:ascii="Times New Roman" w:eastAsia="Times New Roman" w:hAnsi="Times New Roman" w:cs="Times New Roman"/>
          <w:sz w:val="23"/>
          <w:szCs w:val="23"/>
        </w:rPr>
        <w:t>Las entidades gubernamentales y no gubernamentales o privadas que financien proyectos de urbanización, parcelación o de construcción deberán exigir a los propietarios o responsables del proyecto la constancia de Recepción Parcial o Total de las Obras y la escritura de donación del área recreativa y área de equipamiento social si así fuera el caso, previo a la formalización de las escrituras en relación al financiamiento para la adquisición de lotes.</w:t>
      </w:r>
    </w:p>
    <w:p w:rsidR="005B30A4" w:rsidRPr="00CE1D49" w:rsidRDefault="005B30A4" w:rsidP="005B30A4">
      <w:pPr>
        <w:spacing w:before="120" w:line="240" w:lineRule="atLeast"/>
        <w:ind w:firstLine="360"/>
        <w:jc w:val="both"/>
        <w:rPr>
          <w:rFonts w:ascii="Times New Roman" w:eastAsia="Times New Roman" w:hAnsi="Times New Roman" w:cs="Times New Roman"/>
          <w:sz w:val="23"/>
          <w:szCs w:val="23"/>
        </w:rPr>
      </w:pPr>
      <w:r w:rsidRPr="00CE1D49">
        <w:rPr>
          <w:rFonts w:ascii="Times New Roman" w:eastAsia="Times New Roman" w:hAnsi="Times New Roman" w:cs="Times New Roman"/>
          <w:sz w:val="23"/>
          <w:szCs w:val="23"/>
        </w:rPr>
        <w:t>Si la parcelación ha sido realizada por etapas para la formalización de escrituras de cada lote deberá presentarse la constancia de Recepción Parcial correspondiente y para escriturar la última etapa, la cual no podrá ser menor de diez por ciento del número total de lotes, deberá presentarse constancia de recepción total de las obras de urbanización, de la cual se dará el aviso respectivo a la UPGOT.</w:t>
      </w:r>
    </w:p>
    <w:p w:rsidR="005B30A4" w:rsidRPr="00CE1D49" w:rsidRDefault="005B30A4" w:rsidP="005B30A4">
      <w:pPr>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Permiso de Habitar para proveer servicios</w:t>
      </w:r>
    </w:p>
    <w:p w:rsidR="005B30A4" w:rsidRPr="00CE1D49" w:rsidRDefault="005B30A4" w:rsidP="005B30A4">
      <w:pPr>
        <w:spacing w:before="120" w:line="240" w:lineRule="atLeast"/>
        <w:ind w:firstLine="360"/>
        <w:jc w:val="both"/>
        <w:rPr>
          <w:rFonts w:ascii="Times New Roman" w:eastAsia="Times New Roman" w:hAnsi="Times New Roman" w:cs="Times New Roman"/>
          <w:sz w:val="23"/>
          <w:szCs w:val="23"/>
        </w:rPr>
      </w:pPr>
      <w:r w:rsidRPr="00CE1D49">
        <w:rPr>
          <w:rFonts w:ascii="Times New Roman" w:eastAsia="Times New Roman" w:hAnsi="Times New Roman" w:cs="Times New Roman"/>
          <w:b/>
          <w:bCs/>
          <w:sz w:val="23"/>
          <w:szCs w:val="23"/>
        </w:rPr>
        <w:t xml:space="preserve">Art. 122.- </w:t>
      </w:r>
      <w:r w:rsidRPr="00CE1D49">
        <w:rPr>
          <w:rFonts w:ascii="Times New Roman" w:eastAsia="Times New Roman" w:hAnsi="Times New Roman" w:cs="Times New Roman"/>
          <w:sz w:val="23"/>
          <w:szCs w:val="23"/>
        </w:rPr>
        <w:t>Las instituciones encargadas de proveer los servicios de agua potable, alcantarillado sanitario y energía eléctrica, deberán exigir para la conexión de dichos servicios, la recepción de obras emitido por la UPGOT y el Permiso de Habitar o de funcionamiento extendido por la Alcaldía Municipal.</w:t>
      </w:r>
    </w:p>
    <w:p w:rsidR="005B30A4" w:rsidRDefault="005B30A4" w:rsidP="005B30A4">
      <w:pPr>
        <w:rPr>
          <w:rFonts w:ascii="Times New Roman" w:eastAsia="Times New Roman" w:hAnsi="Times New Roman" w:cs="Times New Roman"/>
          <w:b/>
          <w:bCs/>
          <w:sz w:val="24"/>
          <w:szCs w:val="24"/>
        </w:rPr>
      </w:pP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Permiso Ambiental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123.- </w:t>
      </w:r>
      <w:r w:rsidRPr="00344803">
        <w:rPr>
          <w:rFonts w:ascii="Times New Roman" w:eastAsia="Times New Roman" w:hAnsi="Times New Roman" w:cs="Times New Roman"/>
          <w:sz w:val="24"/>
          <w:szCs w:val="24"/>
        </w:rPr>
        <w:t>Será obligatorio para toda persona natural o jurídica, públicas o privadas que soliciten el dictamen técnico favorable para obras de urbanización, parcelación y construcción, de usos y actividades que pueden causar impacto al ambiente, presentar la resolución del Permiso Ambiental emitido por el Ministerio de Medio Ambiente y Recursos Naturales (MARN) o en su defecto presentar la resolución que lo exima de dicho requisito.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Declaración Jurada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 xml:space="preserve">Art. 124.- </w:t>
      </w:r>
      <w:r w:rsidRPr="00344803">
        <w:rPr>
          <w:rFonts w:ascii="Times New Roman" w:eastAsia="Times New Roman" w:hAnsi="Times New Roman" w:cs="Times New Roman"/>
          <w:sz w:val="24"/>
          <w:szCs w:val="24"/>
        </w:rPr>
        <w:t>Todo propietario de una obra o proyecto que desee desarrollar, para poder realizar trámites previos para obtener el dictamen técnico de la UPGOT, deberá presentar una declaración jurada debidamente autenticada por un notario donde manifieste que la información presentada en los planos y documentos es congruente a los elementos físicos existentes en el inmueble donde se proyectará la obra; y declara a su vez el compromiso de construir las obras o proyectos de acuerdo a las regulaciones y especificaciones establecidas en el PDT La Paz, de este municipio; y de acuerdo a las Leyes, Reglamentos, Ordenanzas, Normas Técnicas y demás disposiciones legales en la materia. Sometiéndose a responder ante las instancias judiciales correspondientes en caso de contravención a falsedad de los mismos.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Vigencia de los Trámites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125.- </w:t>
      </w:r>
      <w:r w:rsidRPr="00344803">
        <w:rPr>
          <w:rFonts w:ascii="Times New Roman" w:eastAsia="Times New Roman" w:hAnsi="Times New Roman" w:cs="Times New Roman"/>
          <w:sz w:val="24"/>
          <w:szCs w:val="24"/>
        </w:rPr>
        <w:t xml:space="preserve">Toda resolución favorable de trámites previos de Calificación del Lugar, Línea de Construcción, Revisión Vial y Zonificación, Factibilidad de Aguas Lluvias, tendrá una </w:t>
      </w:r>
      <w:r w:rsidRPr="00344803">
        <w:rPr>
          <w:rFonts w:ascii="Times New Roman" w:eastAsia="Times New Roman" w:hAnsi="Times New Roman" w:cs="Times New Roman"/>
          <w:b/>
          <w:bCs/>
          <w:sz w:val="24"/>
          <w:szCs w:val="24"/>
        </w:rPr>
        <w:t xml:space="preserve">validez de dos años </w:t>
      </w:r>
      <w:r w:rsidRPr="00344803">
        <w:rPr>
          <w:rFonts w:ascii="Times New Roman" w:eastAsia="Times New Roman" w:hAnsi="Times New Roman" w:cs="Times New Roman"/>
          <w:sz w:val="24"/>
          <w:szCs w:val="24"/>
        </w:rPr>
        <w:t>desde la fecha de su otorgamiento, concluido dicho plazo, el interesado deberá iniciar nuevamente los trámites, sin obligación para la UPGOT de mantener lo otorgado en el trámite anterior.</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El Dictamen técnico favorable de la urbanización, parcelación y construcción </w:t>
      </w:r>
      <w:r w:rsidRPr="00344803">
        <w:rPr>
          <w:rFonts w:ascii="Times New Roman" w:eastAsia="Times New Roman" w:hAnsi="Times New Roman" w:cs="Times New Roman"/>
          <w:b/>
          <w:bCs/>
          <w:sz w:val="24"/>
          <w:szCs w:val="24"/>
        </w:rPr>
        <w:t xml:space="preserve">tendrán una validez de dos años </w:t>
      </w:r>
      <w:r w:rsidRPr="00344803">
        <w:rPr>
          <w:rFonts w:ascii="Times New Roman" w:eastAsia="Times New Roman" w:hAnsi="Times New Roman" w:cs="Times New Roman"/>
          <w:sz w:val="24"/>
          <w:szCs w:val="24"/>
        </w:rPr>
        <w:t>desde la fecha de su otorgamiento, de no ser desarrollado quedará sin efecto.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Los tiempos de vigencia de todos los trámites, incluyendo los dictamen técnicos favorables de urbanización, parcelaciones o construcciones, podrán disminuirse cuando en la zona de intervención de cada proyecto surgieran eventos naturales o desastres de gran magnitud a nivel nacional, regional o local, como terremotos, movimientos de laderas, inundaciones, erupciones volcánicas o proyectos constructivos de gran envergadura como carreteras, pasos a desnivel y otros similares, que afecten o pudiesen afectar proyectos otorgados. Para lo cual el Concejo Municipal deberá emitir un Acuerdo de modificación del tiempo definido del o los expedientes o trámites afectados, previo informe técnico de la UPGOT.</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La UPGOT, se reserva el derecho de emitir Memorandos detallando las observaciones que el interesado debe subsanar en aquellos expedientes de trámites que necesiten ser aclarados, corregidos o complementados con información adicional, antes de emitir una resolución. El profesional responsable tiene seis meses calendarios para incorporar las observaciones o información adicional al expediente desde la fecha de notificación de no hacerlo deberá ingresar un nuevo trámite, previo pago de la respectiva tasa por prestación de servicio en esta oficina; si en el término de tres meses calendarios después de emitido el memorando y notificado al profesional responsable o propietario y no es retirado, éste será archivado sin responsabilidad de la UPGOT.</w:t>
      </w:r>
    </w:p>
    <w:p w:rsidR="005B30A4" w:rsidRPr="002B696B" w:rsidRDefault="005B30A4" w:rsidP="005B30A4">
      <w:pPr>
        <w:jc w:val="cente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TÍTULO VIII</w:t>
      </w:r>
    </w:p>
    <w:p w:rsidR="005B30A4" w:rsidRPr="002B696B" w:rsidRDefault="005B30A4" w:rsidP="005B30A4">
      <w:pPr>
        <w:spacing w:after="0"/>
        <w:jc w:val="cente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TASAS POR SERVICIOS DE LA UPGOT </w:t>
      </w:r>
    </w:p>
    <w:p w:rsidR="005B30A4" w:rsidRPr="002B696B" w:rsidRDefault="005B30A4" w:rsidP="005B30A4">
      <w:pPr>
        <w:spacing w:after="0"/>
        <w:jc w:val="cente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CAPITULO ÚNICO</w:t>
      </w:r>
    </w:p>
    <w:p w:rsidR="005B30A4" w:rsidRPr="002B696B" w:rsidRDefault="005B30A4" w:rsidP="005B30A4">
      <w:pP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 Tasas por servicios que presta la UPGOT</w:t>
      </w:r>
    </w:p>
    <w:p w:rsidR="005B30A4" w:rsidRPr="002B696B" w:rsidRDefault="005B30A4" w:rsidP="005B30A4">
      <w:pPr>
        <w:spacing w:before="120" w:line="240" w:lineRule="atLeast"/>
        <w:ind w:firstLine="360"/>
        <w:jc w:val="both"/>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 xml:space="preserve">Art. 126.- </w:t>
      </w:r>
      <w:r w:rsidRPr="002B696B">
        <w:rPr>
          <w:rFonts w:ascii="Times New Roman" w:eastAsia="Times New Roman" w:hAnsi="Times New Roman" w:cs="Times New Roman"/>
          <w:sz w:val="23"/>
          <w:szCs w:val="23"/>
        </w:rPr>
        <w:t>Toda persona natural o jurídica, pública o privada que desee efectuar trámites para el desarrollo de un proyecto de urbanización, parcelación y construcción deberá cancelar en concepto de tasas por los servicios en la oficina de la UPGOT, las tasas vigentes de acuerdo a la tabla siguiente por tipo de trámite:</w:t>
      </w:r>
    </w:p>
    <w:p w:rsidR="005B30A4" w:rsidRPr="002B696B" w:rsidRDefault="005B30A4" w:rsidP="005B30A4">
      <w:pPr>
        <w:jc w:val="cente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lastRenderedPageBreak/>
        <w:t>FACTIBILIDAD DE PROYECTOS</w:t>
      </w:r>
    </w:p>
    <w:p w:rsidR="005B30A4" w:rsidRPr="002B696B" w:rsidRDefault="005B30A4" w:rsidP="005B30A4">
      <w:pPr>
        <w:jc w:val="cente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CONSTRUCCIONES Y PARCELACIONES HABITACIONALES</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a)    Calificación de lugar, por cada m2 del área total del terreno $ 0.018</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b)    Línea de construcción, por cada m2 del área total del terreno $ 0.03</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c)     Factibilidad de drenaje de aguas lluvias, por cada m2 del área total del terreno $ 0.11</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d)    Revisión vial y zonificación, por cada m2 del área total del terreno $ 0.055</w:t>
      </w:r>
    </w:p>
    <w:p w:rsidR="005B30A4" w:rsidRPr="002B696B" w:rsidRDefault="005B30A4" w:rsidP="005B30A4">
      <w:pPr>
        <w:jc w:val="cente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CONSTRUCCIONES Y PARCELACIONES NO HABITACIONALES</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a)    Calificación de lugar (hasta 200.00 m2), tasa única $25.00</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b)    Calificación de lugar (más de 200.00 m2), por cada m2 del área total del terreno $ 0.13</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c)     Línea de construcción (hasta 200.00 m2), tasa única $25.00</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d)    Línea de construcción (más de 200.00 m2), por cada m2 del área total del terreno $ 0.13</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e)    Factibilidad de drenaje de aguas lluvias, por cada m2 del área total del terreno $ 0.22</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f)     Revisión vial y zonificación (hasta 200.00 m2), tasa única $28.00</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g)    Revisión vial y zonificación (más de 200.00 m2), por cada m2 del área total del terreno $ 0.14</w:t>
      </w:r>
    </w:p>
    <w:p w:rsidR="005B30A4" w:rsidRPr="002B696B" w:rsidRDefault="005B30A4" w:rsidP="005B30A4">
      <w:pPr>
        <w:spacing w:after="0"/>
        <w:jc w:val="cente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DICTAMEN TÉCNICO</w:t>
      </w:r>
    </w:p>
    <w:p w:rsidR="005B30A4" w:rsidRPr="002B696B" w:rsidRDefault="005B30A4" w:rsidP="005B30A4">
      <w:pPr>
        <w:spacing w:after="0"/>
        <w:jc w:val="cente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URBANIZACIÓN, PARCELACIÓN Y CONSTRUCCIÓN HABITACIONAL</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a)    Urbanización o Parcelación, por cada m2 del área total del terreno $ 0.15</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b)    Construcciones y/o reparaciones, ampliaciones y remodelaciones, por cada m2 del área total de construcción $ 0.30</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c)    Construcción de muros y tapiales, por m2 de área de pantalla $0.26.</w:t>
      </w:r>
    </w:p>
    <w:p w:rsidR="005B30A4" w:rsidRPr="002B696B" w:rsidRDefault="005B30A4" w:rsidP="005B30A4">
      <w:pPr>
        <w:jc w:val="center"/>
        <w:rPr>
          <w:rFonts w:ascii="Times New Roman" w:eastAsia="Times New Roman" w:hAnsi="Times New Roman" w:cs="Times New Roman"/>
          <w:sz w:val="23"/>
          <w:szCs w:val="23"/>
        </w:rPr>
      </w:pPr>
      <w:r w:rsidRPr="002B696B">
        <w:rPr>
          <w:rFonts w:ascii="Times New Roman" w:eastAsia="Times New Roman" w:hAnsi="Times New Roman" w:cs="Times New Roman"/>
          <w:b/>
          <w:bCs/>
          <w:sz w:val="23"/>
          <w:szCs w:val="23"/>
        </w:rPr>
        <w:t>PARCELACIÓN Y CONSTRUCCIÓN NO HABITACIONAL</w:t>
      </w:r>
    </w:p>
    <w:p w:rsidR="005B30A4" w:rsidRPr="002B696B" w:rsidRDefault="005B30A4" w:rsidP="005B30A4">
      <w:pPr>
        <w:spacing w:before="120" w:line="240" w:lineRule="atLeast"/>
        <w:ind w:left="720" w:hanging="360"/>
        <w:jc w:val="both"/>
        <w:rPr>
          <w:rFonts w:ascii="Times New Roman" w:eastAsia="Times New Roman" w:hAnsi="Times New Roman" w:cs="Times New Roman"/>
          <w:sz w:val="23"/>
          <w:szCs w:val="23"/>
        </w:rPr>
      </w:pPr>
      <w:r w:rsidRPr="002B696B">
        <w:rPr>
          <w:rFonts w:ascii="Times New Roman" w:eastAsia="Times New Roman" w:hAnsi="Times New Roman" w:cs="Times New Roman"/>
          <w:sz w:val="23"/>
          <w:szCs w:val="23"/>
        </w:rPr>
        <w:t>a)    Parcelación, por cada m2 del área total del terreno $ 0.20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Construcciones y/o reparaciones, remodelaciones, ampliaciones y reconstrucciones mayores de 100.00M2, por cada m2 del área total de construcción $ 0.40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     Construcciones de muros y tapiales, por cada m2 del área de pantalla $ 0.30</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RECEPCIÓN DE OBRAS DE PROYECTOS</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URBANIZACIÓN, PARCELACIÓN Y CONSTRUCCIÓN HABITACIONAL</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Recepción de obras de construcción, por cada m2 del área total de construcción $0.23</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lastRenderedPageBreak/>
        <w:t>b)    Recepción de obras de urbanización o parcelación, por cada m2 del área total de construcción $0.29</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PARCELACIÓN Y CONSTRUCCIÓN NO HABITACIONAL</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Recepción de obras de construcción, por cada m2 del área total de construcción $0.28</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Recepción de obras de parcelación, por cada m2 del área total de construcción $0.36</w:t>
      </w:r>
    </w:p>
    <w:p w:rsidR="005B30A4" w:rsidRPr="00344803" w:rsidRDefault="005B30A4" w:rsidP="005B30A4">
      <w:pPr>
        <w:jc w:val="center"/>
        <w:rPr>
          <w:rFonts w:ascii="Times New Roman" w:hAnsi="Times New Roman" w:cs="Times New Roman"/>
          <w:sz w:val="24"/>
          <w:szCs w:val="24"/>
        </w:rPr>
      </w:pPr>
      <w:r w:rsidRPr="00344803">
        <w:rPr>
          <w:rFonts w:ascii="Times New Roman" w:eastAsia="Times New Roman" w:hAnsi="Times New Roman" w:cs="Times New Roman"/>
          <w:b/>
          <w:sz w:val="24"/>
          <w:szCs w:val="24"/>
        </w:rPr>
        <w:t>SEGREGACIONES SIMPLES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Segregaciones simples, hasta 200 m2, tasa única $30.00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Segregaciones simples, mayores a 200m2, por cada m2, $0,15 ctv.</w:t>
      </w:r>
    </w:p>
    <w:p w:rsidR="005B30A4" w:rsidRPr="00344803" w:rsidRDefault="005B30A4" w:rsidP="005B30A4">
      <w:pPr>
        <w:jc w:val="center"/>
        <w:rPr>
          <w:rFonts w:ascii="Times New Roman" w:hAnsi="Times New Roman" w:cs="Times New Roman"/>
          <w:sz w:val="24"/>
          <w:szCs w:val="24"/>
        </w:rPr>
      </w:pPr>
      <w:r w:rsidRPr="00344803">
        <w:rPr>
          <w:rFonts w:ascii="Times New Roman" w:eastAsia="Times New Roman" w:hAnsi="Times New Roman" w:cs="Times New Roman"/>
          <w:b/>
          <w:sz w:val="24"/>
          <w:szCs w:val="24"/>
        </w:rPr>
        <w:t>SEGREGACIONES SIMPLESTANTO COMERCIAL O HERENCIAS.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Segregaciones simples comerciales o herencias, hasta 200 m2, tasa única $40.00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Segregaciones simples comerciales o herencias, mayores a 200m2, por cada m2, $0,25 ctv.</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TRÁMITES MISCELÁNEOS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Reconsideración de trámites previos, cancelará de la tasa vigente por el trámite 50%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Reforma de revisión vial y zonificación, cancelará de la tasa vigente por el trámite 50%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     Reforma de dictamen técnico de urbanización o parcelación, cancelará de la tasa vigente por el trámite 50%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    Reforma de dictamen técnico de construcción, cancelará de la tasa vigente por el trámite 50%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    Certificación de trámites previos, por unidad $11.43</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f)     Certificación de dictamen técnico, por unidad $57.14</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g)    Reposición de trámites previos, por unidad $11.43</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h)    Reposición de dictamen técnico, por unidad $57.14</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i)      Constancia de no afectación vial, por unidad $11.43</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j)      Constancia de compatibilidad de uso (precalificaciones), por unidad $11.43</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k)     Informe técnico para Denuncias, por unidad $10.00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l)      Informe Declaratoria para proyectos de Interés Social $10.00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m)   Venta de Formulario, ordenanza, por hoja $ 0.25</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n)    Venta de mapas tamaño doble carta, por unidad $ 7.50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o)    Venta de mapas tamaño 1.0mts X 1.0mts , por unidad $40.00</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lastRenderedPageBreak/>
        <w:t>p)    Sellado de bitácora, unidad $20.00</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Tasa para Proyectos de Interés Social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127.- </w:t>
      </w:r>
      <w:r w:rsidRPr="00344803">
        <w:rPr>
          <w:rFonts w:ascii="Times New Roman" w:eastAsia="Times New Roman" w:hAnsi="Times New Roman" w:cs="Times New Roman"/>
          <w:sz w:val="24"/>
          <w:szCs w:val="24"/>
        </w:rPr>
        <w:t>El Concejo Municipal de este municipio, podrá rebajar el cobro de tasas por trámites en los proyectos declarados de Interés Social a través de un acuerdo municipal, de acuerdo a los siguientes criterios:</w:t>
      </w:r>
    </w:p>
    <w:tbl>
      <w:tblPr>
        <w:tblW w:w="0" w:type="auto"/>
        <w:tblInd w:w="40" w:type="dxa"/>
        <w:tblCellMar>
          <w:left w:w="0" w:type="dxa"/>
          <w:right w:w="0" w:type="dxa"/>
        </w:tblCellMar>
        <w:tblLook w:val="04A0"/>
      </w:tblPr>
      <w:tblGrid>
        <w:gridCol w:w="3840"/>
        <w:gridCol w:w="2467"/>
      </w:tblGrid>
      <w:tr w:rsidR="005B30A4" w:rsidRPr="00344803" w:rsidTr="006B4D3E">
        <w:tc>
          <w:tcPr>
            <w:tcW w:w="6307" w:type="dxa"/>
            <w:gridSpan w:val="2"/>
            <w:tcMar>
              <w:top w:w="0" w:type="dxa"/>
              <w:left w:w="40" w:type="dxa"/>
              <w:bottom w:w="0" w:type="dxa"/>
              <w:right w:w="40" w:type="dxa"/>
            </w:tcMar>
            <w:hideMark/>
          </w:tcPr>
          <w:p w:rsidR="005B30A4" w:rsidRPr="00344803" w:rsidRDefault="005B30A4" w:rsidP="006B4D3E">
            <w:pPr>
              <w:jc w:val="cente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REBAJA DE TASAS</w:t>
            </w:r>
          </w:p>
        </w:tc>
      </w:tr>
      <w:tr w:rsidR="005B30A4" w:rsidRPr="00344803" w:rsidTr="006B4D3E">
        <w:tc>
          <w:tcPr>
            <w:tcW w:w="384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Un nivel</w:t>
            </w:r>
          </w:p>
        </w:tc>
        <w:tc>
          <w:tcPr>
            <w:tcW w:w="2467"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- 15 % de la tasa</w:t>
            </w:r>
          </w:p>
        </w:tc>
      </w:tr>
      <w:tr w:rsidR="005B30A4" w:rsidRPr="00344803" w:rsidTr="006B4D3E">
        <w:tc>
          <w:tcPr>
            <w:tcW w:w="384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Entre 2 a 4 niveles o pisos</w:t>
            </w:r>
          </w:p>
        </w:tc>
        <w:tc>
          <w:tcPr>
            <w:tcW w:w="2467"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- 30% de la tasa</w:t>
            </w:r>
          </w:p>
        </w:tc>
      </w:tr>
      <w:tr w:rsidR="005B30A4" w:rsidRPr="00344803" w:rsidTr="006B4D3E">
        <w:tc>
          <w:tcPr>
            <w:tcW w:w="384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De 5 a más niveles o pisos</w:t>
            </w:r>
          </w:p>
        </w:tc>
        <w:tc>
          <w:tcPr>
            <w:tcW w:w="2467"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- 40% de la tasa</w:t>
            </w:r>
          </w:p>
        </w:tc>
      </w:tr>
      <w:tr w:rsidR="005B30A4" w:rsidRPr="00344803" w:rsidTr="006B4D3E">
        <w:tc>
          <w:tcPr>
            <w:tcW w:w="3840"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Comunidades marginales o tugurios</w:t>
            </w:r>
          </w:p>
        </w:tc>
        <w:tc>
          <w:tcPr>
            <w:tcW w:w="2467" w:type="dxa"/>
            <w:tcMar>
              <w:top w:w="0" w:type="dxa"/>
              <w:left w:w="40" w:type="dxa"/>
              <w:bottom w:w="0" w:type="dxa"/>
              <w:right w:w="40" w:type="dxa"/>
            </w:tcMar>
            <w:hideMark/>
          </w:tcPr>
          <w:p w:rsidR="005B30A4" w:rsidRPr="00344803" w:rsidRDefault="005B30A4" w:rsidP="006B4D3E">
            <w:pPr>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- 75% de la tasa</w:t>
            </w:r>
          </w:p>
        </w:tc>
      </w:tr>
    </w:tbl>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Tasa para Proyectos ejecutados por la Alcaldía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128.- </w:t>
      </w:r>
      <w:r w:rsidRPr="00344803">
        <w:rPr>
          <w:rFonts w:ascii="Times New Roman" w:eastAsia="Times New Roman" w:hAnsi="Times New Roman" w:cs="Times New Roman"/>
          <w:sz w:val="24"/>
          <w:szCs w:val="24"/>
        </w:rPr>
        <w:t>Todo proyecto ejecutado directamente por la alcaldía pagará una tasa cero en trámites para la obtención del dictamen técnico favorable.</w:t>
      </w:r>
    </w:p>
    <w:p w:rsidR="005B30A4" w:rsidRPr="00344803" w:rsidRDefault="005B30A4" w:rsidP="005B30A4">
      <w:pPr>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TÍTULO IX</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DE LAS INFRACCIONES, SANCIONES Y RECURSOS.</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w:t>
      </w:r>
    </w:p>
    <w:p w:rsidR="005B30A4" w:rsidRPr="00344803" w:rsidRDefault="005B30A4" w:rsidP="005B30A4">
      <w:pPr>
        <w:spacing w:after="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ÚNICO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Infracciones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129.- </w:t>
      </w:r>
      <w:r w:rsidRPr="00344803">
        <w:rPr>
          <w:rFonts w:ascii="Times New Roman" w:eastAsia="Times New Roman" w:hAnsi="Times New Roman" w:cs="Times New Roman"/>
          <w:sz w:val="24"/>
          <w:szCs w:val="24"/>
        </w:rPr>
        <w:t>Serán consideradas infracciones a esta Ordenanza, el incumplimiento de las normas técnicas determinadas en los planos y documentos técnicos correspondientes.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Clasificación de las Infracciones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130.- </w:t>
      </w:r>
      <w:r w:rsidRPr="00344803">
        <w:rPr>
          <w:rFonts w:ascii="Times New Roman" w:eastAsia="Times New Roman" w:hAnsi="Times New Roman" w:cs="Times New Roman"/>
          <w:sz w:val="24"/>
          <w:szCs w:val="24"/>
        </w:rPr>
        <w:t>Las infracciones que ponen en serio peligro la seguridad y/o salubridad de las parcelaciones, edificaciones, u obras de infraestructura y/o a las personas que las habitan o usan se clasifican en leves, graves y muy graves.</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1)    Son infracciones leves:</w:t>
      </w:r>
    </w:p>
    <w:p w:rsidR="005B30A4" w:rsidRPr="00344803" w:rsidRDefault="005B30A4" w:rsidP="005B30A4">
      <w:pPr>
        <w:spacing w:before="120" w:line="240" w:lineRule="atLeast"/>
        <w:ind w:left="108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Iniciar obras de terracería sin el permiso correspondiente.</w:t>
      </w:r>
    </w:p>
    <w:p w:rsidR="005B30A4" w:rsidRPr="008553FE" w:rsidRDefault="005B30A4" w:rsidP="005B30A4">
      <w:pPr>
        <w:spacing w:before="120" w:line="240" w:lineRule="atLeast"/>
        <w:ind w:left="720" w:hanging="360"/>
        <w:jc w:val="both"/>
        <w:rPr>
          <w:rFonts w:ascii="Times New Roman" w:eastAsia="Times New Roman" w:hAnsi="Times New Roman" w:cs="Times New Roman"/>
          <w:sz w:val="23"/>
          <w:szCs w:val="23"/>
        </w:rPr>
      </w:pPr>
      <w:r w:rsidRPr="00344803">
        <w:rPr>
          <w:rFonts w:ascii="Times New Roman" w:eastAsia="Times New Roman" w:hAnsi="Times New Roman" w:cs="Times New Roman"/>
          <w:sz w:val="24"/>
          <w:szCs w:val="24"/>
        </w:rPr>
        <w:t xml:space="preserve">2)    </w:t>
      </w:r>
      <w:r w:rsidRPr="008553FE">
        <w:rPr>
          <w:rFonts w:ascii="Times New Roman" w:eastAsia="Times New Roman" w:hAnsi="Times New Roman" w:cs="Times New Roman"/>
          <w:sz w:val="23"/>
          <w:szCs w:val="23"/>
        </w:rPr>
        <w:t>Son infracciones graves:</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a.     Iniciar actividades en obras o proyectos habitacionales de urbanización, parcelación y construcción sin haber obtenido el permiso correspondiente según sea el caso.</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b.     Transgresión a las normas estipuladas en el PDT La Paz, Plan de Desarrollo Local del Municipio, la Ley y Reglamento de Urbanismo y Construcción, la presente Ordenanza y otras disposiciones de la materia.</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c.     Transgresión a los requerimientos técnicos determinados en los planos autorizados y resoluciones otorgadas.</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lastRenderedPageBreak/>
        <w:t>d.     Transgresión a normas y procedimientos técnicos de construcción dictados por entidades Registradas y Autorizadas.</w:t>
      </w:r>
    </w:p>
    <w:p w:rsidR="005B30A4" w:rsidRPr="008553FE" w:rsidRDefault="005B30A4" w:rsidP="005B30A4">
      <w:pPr>
        <w:spacing w:before="120" w:line="240" w:lineRule="atLeast"/>
        <w:ind w:left="72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3)    Son infracciones muy graves las que ponen en situación de riesgo las parcelaciones y las edificaciones de terceros; las obras del Estado y/o que constituyan una amenaza de riesgo muy grave para el medio ambiente en general. Estas son:</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a)   Iniciar actividades de Construcción no habitacionales, sin haber obtenido el permiso correspondiente.</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b)   Iniciar actividades de comercialización o de funcionamiento sin haber obtenido el permiso correspondiente.</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b)    Finalización de obras o proyectos habitacionales de urbanización, parcelación y construcción sin haber obtenido el permiso correspondiente.</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c)    Alteración o falsificación de cualquier documento que constituya un requerimiento para desarrollar los proyectos de parcelación y/o construcción, así como falsificación a las firmas y sellos profesionales.</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d)   Daños y perjuicios a la persona o propiedades públicas o privadas, derivados de la negligencia o deficiencia con que se ejecuta un proyecto.</w:t>
      </w:r>
    </w:p>
    <w:p w:rsidR="005B30A4" w:rsidRPr="008553FE" w:rsidRDefault="005B30A4" w:rsidP="005B30A4">
      <w:pPr>
        <w:spacing w:before="120" w:line="240" w:lineRule="atLeast"/>
        <w:ind w:left="1080" w:hanging="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e)   Realizar tala de árboles sin el permiso municipal o de la entidad correspondiente. Sin perjuicio, que el infractor deberá además de la sanción que corresponde en concepto de multa, dar en compensación por cada árbol talado sin permiso, 5 árboles que deberá sembrar en donde indique la municipalidad.</w:t>
      </w:r>
    </w:p>
    <w:p w:rsidR="005B30A4" w:rsidRPr="008553FE" w:rsidRDefault="005B30A4" w:rsidP="005B30A4">
      <w:pPr>
        <w:rPr>
          <w:rFonts w:ascii="Times New Roman" w:eastAsia="Times New Roman" w:hAnsi="Times New Roman" w:cs="Times New Roman"/>
          <w:sz w:val="23"/>
          <w:szCs w:val="23"/>
        </w:rPr>
      </w:pPr>
      <w:r w:rsidRPr="008553FE">
        <w:rPr>
          <w:rFonts w:ascii="Times New Roman" w:eastAsia="Times New Roman" w:hAnsi="Times New Roman" w:cs="Times New Roman"/>
          <w:b/>
          <w:bCs/>
          <w:sz w:val="23"/>
          <w:szCs w:val="23"/>
        </w:rPr>
        <w:t>Medida cautelar de Suspensión de obra</w:t>
      </w:r>
    </w:p>
    <w:p w:rsidR="005B30A4" w:rsidRPr="008553FE" w:rsidRDefault="005B30A4" w:rsidP="005B30A4">
      <w:pPr>
        <w:spacing w:before="120" w:line="240" w:lineRule="atLeast"/>
        <w:ind w:firstLine="360"/>
        <w:jc w:val="both"/>
        <w:rPr>
          <w:rFonts w:ascii="Times New Roman" w:eastAsia="Times New Roman" w:hAnsi="Times New Roman" w:cs="Times New Roman"/>
          <w:sz w:val="23"/>
          <w:szCs w:val="23"/>
        </w:rPr>
      </w:pPr>
      <w:r w:rsidRPr="008553FE">
        <w:rPr>
          <w:rFonts w:ascii="Times New Roman" w:eastAsia="Times New Roman" w:hAnsi="Times New Roman" w:cs="Times New Roman"/>
          <w:b/>
          <w:bCs/>
          <w:sz w:val="23"/>
          <w:szCs w:val="23"/>
        </w:rPr>
        <w:t xml:space="preserve">Art. 131.- </w:t>
      </w:r>
      <w:r w:rsidRPr="008553FE">
        <w:rPr>
          <w:rFonts w:ascii="Times New Roman" w:eastAsia="Times New Roman" w:hAnsi="Times New Roman" w:cs="Times New Roman"/>
          <w:sz w:val="23"/>
          <w:szCs w:val="23"/>
        </w:rPr>
        <w:t>En los casos en que una obra de urbanización, parcelación o construcción no cuente con los permisos correspondientes o contando con éste incumple las normativas técnicas, la Municipalidad podrá en cualquier momento emitir resolución ordenando suspender la obra y no continuar con la actividad que se realiza. Esto no impedirá que se aplique la sanción correspondiente al finalizar el proceso sancionatorio.</w:t>
      </w:r>
    </w:p>
    <w:p w:rsidR="005B30A4" w:rsidRPr="008553FE" w:rsidRDefault="005B30A4" w:rsidP="005B30A4">
      <w:pPr>
        <w:spacing w:before="120" w:line="240" w:lineRule="atLeast"/>
        <w:ind w:firstLine="360"/>
        <w:jc w:val="both"/>
        <w:rPr>
          <w:rFonts w:ascii="Times New Roman" w:eastAsia="Times New Roman" w:hAnsi="Times New Roman" w:cs="Times New Roman"/>
          <w:sz w:val="23"/>
          <w:szCs w:val="23"/>
        </w:rPr>
      </w:pPr>
      <w:r w:rsidRPr="008553FE">
        <w:rPr>
          <w:rFonts w:ascii="Times New Roman" w:eastAsia="Times New Roman" w:hAnsi="Times New Roman" w:cs="Times New Roman"/>
          <w:sz w:val="23"/>
          <w:szCs w:val="23"/>
        </w:rPr>
        <w:t>En caso de que las urbanización, parcelación o construcciones, se realicen en usos de suelo no aptos para ese tipo de proyectos, como lo establece el Mapa Normativo de Zonificación, el propietario del inmueble o el desarrollista de la obra, estará en la obligación de demoler el proyecto y dejar el inmueble en su estado original, en un plazo de tiempo que el Concejo Municipal establecerá y que en ningún caso podrá ser mayor a noventa días calendarios. Si la acción ejecutada constituye delito, la Municipalidad deberá denunciarlo ante la Fiscalía General de la República de conformidad a lo establecido en el Código Penal.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Circunstancias agravantes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132.- </w:t>
      </w:r>
      <w:r w:rsidRPr="00344803">
        <w:rPr>
          <w:rFonts w:ascii="Times New Roman" w:eastAsia="Times New Roman" w:hAnsi="Times New Roman" w:cs="Times New Roman"/>
          <w:sz w:val="24"/>
          <w:szCs w:val="24"/>
        </w:rPr>
        <w:t>Son circunstancias agravantes de la responsabilidad de los infractores a la presente Ordenanza las que se enumeran a continuación:</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a)    Por la reincidencia en el cometimiento de infracciones previstas en la presente Ordenanza según resolución firme emitida por la autoridad competente.</w:t>
      </w:r>
    </w:p>
    <w:p w:rsidR="005B30A4" w:rsidRPr="00344803" w:rsidRDefault="005B30A4" w:rsidP="005B30A4">
      <w:pPr>
        <w:spacing w:before="120" w:line="240" w:lineRule="atLeast"/>
        <w:ind w:left="720" w:hanging="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b)    Persistir en la infracción iniciado el procedimiento sancionatorio si se ha ordenado la suspensión de la obra.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En caso de configurarse estas circunstancias agravantes la multa se incrementará hasta en cinco salarios mínimos mensual vigente para el sector comercio y servicios.</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Multas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133.- </w:t>
      </w:r>
      <w:r w:rsidRPr="00344803">
        <w:rPr>
          <w:rFonts w:ascii="Times New Roman" w:eastAsia="Times New Roman" w:hAnsi="Times New Roman" w:cs="Times New Roman"/>
          <w:sz w:val="24"/>
          <w:szCs w:val="24"/>
        </w:rPr>
        <w:t>La autoridad competente para sancionar de oficio es el Alcalde o funcionario delegado por el Concejo Municipal para tal efecto, tomando en cuenta las denuncias de la UPGOT, de funcionarios, empleados municipales y/o particulares, sancionando con multas que ingresarán al fondo municipal de acuerdo a lo siguiente:</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Para las Infracciones Leves: siete salarios mínimos mensual vigente para el sector comercio y servicios.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Para las Infracciones Graves: nueve salarios mínimos mensual vigente para el sector comercio y servicio.</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Para las Infracciones Muy Graves: para construcciones habitacionales una multa de $ 4.00 por cada metro cuadrado del área total del terreno donde se desarrolla la obra; en construcciones no habitacionales una multa de $ 5.00 por cada metro cuadrado del área total a construir. Para el caso de finalización de obras de proyectos será de $ 6.00 por cada metro cuadrado del área total del terreno donde se desarrolla la obra.</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Procedimientos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134.- </w:t>
      </w:r>
      <w:r w:rsidRPr="00344803">
        <w:rPr>
          <w:rFonts w:ascii="Times New Roman" w:eastAsia="Times New Roman" w:hAnsi="Times New Roman" w:cs="Times New Roman"/>
          <w:sz w:val="24"/>
          <w:szCs w:val="24"/>
        </w:rPr>
        <w:t>Para la imposición de las sanciones antes mencionadas, se procederá de conformidad a lo establecido en el artículo 131 del Código Municipal.</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Recurso de Apelación</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135.- </w:t>
      </w:r>
      <w:r w:rsidRPr="00344803">
        <w:rPr>
          <w:rFonts w:ascii="Times New Roman" w:eastAsia="Times New Roman" w:hAnsi="Times New Roman" w:cs="Times New Roman"/>
          <w:sz w:val="24"/>
          <w:szCs w:val="24"/>
        </w:rPr>
        <w:t>De la Resolución que pronuncie el Alcalde, se admitirán los recursos de apelación ante el mismo Concejo, según se establece en los artículos 137 del mismo Código.</w:t>
      </w:r>
    </w:p>
    <w:p w:rsidR="005B30A4" w:rsidRPr="00344803" w:rsidRDefault="005B30A4" w:rsidP="005B30A4">
      <w:pP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Recursos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136.- </w:t>
      </w:r>
      <w:r w:rsidRPr="00344803">
        <w:rPr>
          <w:rFonts w:ascii="Times New Roman" w:eastAsia="Times New Roman" w:hAnsi="Times New Roman" w:cs="Times New Roman"/>
          <w:sz w:val="24"/>
          <w:szCs w:val="24"/>
        </w:rPr>
        <w:t>De la resolución que se pronuncie, se admitirán los recursos que establece el Código Municipal.</w:t>
      </w:r>
    </w:p>
    <w:p w:rsidR="005B30A4" w:rsidRDefault="005B30A4" w:rsidP="005B30A4">
      <w:pPr>
        <w:jc w:val="center"/>
        <w:rPr>
          <w:rFonts w:ascii="Times New Roman" w:eastAsia="Times New Roman" w:hAnsi="Times New Roman" w:cs="Times New Roman"/>
          <w:b/>
          <w:bCs/>
          <w:sz w:val="24"/>
          <w:szCs w:val="24"/>
        </w:rPr>
      </w:pPr>
    </w:p>
    <w:p w:rsidR="005B30A4" w:rsidRPr="00344803" w:rsidRDefault="005B30A4" w:rsidP="005B30A4">
      <w:pPr>
        <w:spacing w:after="20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TÍTULO X</w:t>
      </w:r>
    </w:p>
    <w:p w:rsidR="005B30A4" w:rsidRPr="00344803" w:rsidRDefault="005B30A4" w:rsidP="005B30A4">
      <w:pPr>
        <w:spacing w:before="120" w:after="12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DISPOSICIONES FINALES</w:t>
      </w:r>
    </w:p>
    <w:p w:rsidR="005B30A4" w:rsidRPr="00344803" w:rsidRDefault="005B30A4" w:rsidP="005B30A4">
      <w:pPr>
        <w:spacing w:before="120" w:after="120"/>
        <w:jc w:val="center"/>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CAPÍTULO ÚNICO</w:t>
      </w:r>
    </w:p>
    <w:p w:rsidR="005B30A4" w:rsidRDefault="005B30A4" w:rsidP="005B30A4">
      <w:pPr>
        <w:rPr>
          <w:rFonts w:ascii="Times New Roman" w:eastAsia="Times New Roman" w:hAnsi="Times New Roman" w:cs="Times New Roman"/>
          <w:b/>
          <w:bCs/>
          <w:sz w:val="24"/>
          <w:szCs w:val="24"/>
        </w:rPr>
      </w:pPr>
    </w:p>
    <w:p w:rsidR="005B30A4" w:rsidRPr="00344803" w:rsidRDefault="005B30A4" w:rsidP="005B30A4">
      <w:pPr>
        <w:rPr>
          <w:rFonts w:ascii="Times New Roman" w:eastAsia="Times New Roman" w:hAnsi="Times New Roman" w:cs="Times New Roman"/>
          <w:b/>
          <w:bCs/>
          <w:sz w:val="24"/>
          <w:szCs w:val="24"/>
        </w:rPr>
      </w:pPr>
      <w:r w:rsidRPr="00344803">
        <w:rPr>
          <w:rFonts w:ascii="Times New Roman" w:eastAsia="Times New Roman" w:hAnsi="Times New Roman" w:cs="Times New Roman"/>
          <w:b/>
          <w:bCs/>
          <w:sz w:val="24"/>
          <w:szCs w:val="24"/>
        </w:rPr>
        <w:t> Especialidad de la norma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137.- </w:t>
      </w:r>
      <w:r w:rsidRPr="00344803">
        <w:rPr>
          <w:rFonts w:ascii="Times New Roman" w:eastAsia="Times New Roman" w:hAnsi="Times New Roman" w:cs="Times New Roman"/>
          <w:sz w:val="24"/>
          <w:szCs w:val="24"/>
        </w:rPr>
        <w:t>La presente Ordenanza tiene carácter especial, por lo que se aplicará con preferencia a cualquier otra normativa técnica en caso de duda.</w:t>
      </w:r>
    </w:p>
    <w:p w:rsidR="005B30A4" w:rsidRPr="00344803" w:rsidRDefault="005B30A4" w:rsidP="005B30A4">
      <w:pPr>
        <w:rPr>
          <w:rFonts w:ascii="Times New Roman" w:eastAsia="Times New Roman" w:hAnsi="Times New Roman" w:cs="Times New Roman"/>
          <w:b/>
          <w:bCs/>
          <w:sz w:val="24"/>
          <w:szCs w:val="24"/>
        </w:rPr>
      </w:pPr>
      <w:r w:rsidRPr="00344803">
        <w:rPr>
          <w:rFonts w:ascii="Times New Roman" w:eastAsia="Times New Roman" w:hAnsi="Times New Roman" w:cs="Times New Roman"/>
          <w:b/>
          <w:bCs/>
          <w:sz w:val="24"/>
          <w:szCs w:val="24"/>
        </w:rPr>
        <w:t>Ámbito de aplicación por la materia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138.- </w:t>
      </w:r>
      <w:r w:rsidRPr="00344803">
        <w:rPr>
          <w:rFonts w:ascii="Times New Roman" w:eastAsia="Times New Roman" w:hAnsi="Times New Roman" w:cs="Times New Roman"/>
          <w:sz w:val="24"/>
          <w:szCs w:val="24"/>
        </w:rPr>
        <w:t>Se aplicarán en este Municipio todas las disposiciones en lo que no contradigan a la presente Ordenanza.</w:t>
      </w:r>
    </w:p>
    <w:p w:rsidR="005B30A4" w:rsidRPr="00344803" w:rsidRDefault="005B30A4" w:rsidP="005B30A4">
      <w:pPr>
        <w:rPr>
          <w:rFonts w:ascii="Times New Roman" w:eastAsia="Times New Roman" w:hAnsi="Times New Roman" w:cs="Times New Roman"/>
          <w:b/>
          <w:bCs/>
          <w:sz w:val="24"/>
          <w:szCs w:val="24"/>
        </w:rPr>
      </w:pPr>
      <w:r w:rsidRPr="00344803">
        <w:rPr>
          <w:rFonts w:ascii="Times New Roman" w:eastAsia="Times New Roman" w:hAnsi="Times New Roman" w:cs="Times New Roman"/>
          <w:b/>
          <w:bCs/>
          <w:sz w:val="24"/>
          <w:szCs w:val="24"/>
        </w:rPr>
        <w:t>Instrumentos adicionales</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lastRenderedPageBreak/>
        <w:t>Art. 139.-</w:t>
      </w:r>
      <w:r w:rsidRPr="00344803">
        <w:rPr>
          <w:rFonts w:ascii="Times New Roman" w:eastAsia="Times New Roman" w:hAnsi="Times New Roman" w:cs="Times New Roman"/>
          <w:sz w:val="24"/>
          <w:szCs w:val="24"/>
        </w:rPr>
        <w:t>Todos los documentos o instructivos que se requieren para operativizar la presente Ordenanza deberán ser aprobados por el Concejo Municipal.</w:t>
      </w:r>
    </w:p>
    <w:p w:rsidR="005B30A4" w:rsidRPr="00344803" w:rsidRDefault="005B30A4" w:rsidP="005B30A4">
      <w:pPr>
        <w:rPr>
          <w:rFonts w:ascii="Times New Roman" w:eastAsia="Times New Roman" w:hAnsi="Times New Roman" w:cs="Times New Roman"/>
          <w:b/>
          <w:bCs/>
          <w:sz w:val="24"/>
          <w:szCs w:val="24"/>
        </w:rPr>
      </w:pPr>
      <w:r w:rsidRPr="00344803">
        <w:rPr>
          <w:rFonts w:ascii="Times New Roman" w:eastAsia="Times New Roman" w:hAnsi="Times New Roman" w:cs="Times New Roman"/>
          <w:b/>
          <w:bCs/>
          <w:sz w:val="24"/>
          <w:szCs w:val="24"/>
        </w:rPr>
        <w:t>Aplicación de normativa supletoria</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140.- </w:t>
      </w:r>
      <w:r w:rsidRPr="00344803">
        <w:rPr>
          <w:rFonts w:ascii="Times New Roman" w:eastAsia="Times New Roman" w:hAnsi="Times New Roman" w:cs="Times New Roman"/>
          <w:sz w:val="24"/>
          <w:szCs w:val="24"/>
        </w:rPr>
        <w:t>De lo no establecido en esta Ordenanza, se aplicará supletoriamente la Ley de Urbanismo y Construcción y sus Reglamentos y otras leyes que puedan ser aplicables, así como las normas del derecho común pertinentes.</w:t>
      </w:r>
    </w:p>
    <w:p w:rsidR="005B30A4" w:rsidRPr="00344803" w:rsidRDefault="005B30A4" w:rsidP="005B30A4">
      <w:pPr>
        <w:rPr>
          <w:rFonts w:ascii="Times New Roman" w:eastAsia="Times New Roman" w:hAnsi="Times New Roman" w:cs="Times New Roman"/>
          <w:b/>
          <w:bCs/>
          <w:sz w:val="24"/>
          <w:szCs w:val="24"/>
        </w:rPr>
      </w:pPr>
      <w:r w:rsidRPr="00344803">
        <w:rPr>
          <w:rFonts w:ascii="Times New Roman" w:eastAsia="Times New Roman" w:hAnsi="Times New Roman" w:cs="Times New Roman"/>
          <w:b/>
          <w:bCs/>
          <w:sz w:val="24"/>
          <w:szCs w:val="24"/>
        </w:rPr>
        <w:t>DEROGATORIA</w:t>
      </w:r>
    </w:p>
    <w:p w:rsidR="005B30A4" w:rsidRPr="00344803" w:rsidRDefault="005B30A4" w:rsidP="005B30A4">
      <w:pPr>
        <w:ind w:firstLine="29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Art. 141.-</w:t>
      </w:r>
      <w:r w:rsidRPr="00344803">
        <w:rPr>
          <w:rFonts w:ascii="Times New Roman" w:eastAsia="Times New Roman" w:hAnsi="Times New Roman" w:cs="Times New Roman"/>
          <w:sz w:val="24"/>
          <w:szCs w:val="24"/>
        </w:rPr>
        <w:t>Se deroga expresamente, la Ordenanza para el Desarrollo, Ordenamiento y Gestión del Territorio del Municipio de San Luis la Herradura, Departamento de la Paz, emitida por Decreto Municipal Número 01/12, de fecha diecinueve de junio de dos mil doce, publicada en el Diario Oficial  No. 140, del 27 de julio de 2012.</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b/>
          <w:bCs/>
          <w:sz w:val="24"/>
          <w:szCs w:val="24"/>
        </w:rPr>
        <w:t xml:space="preserve">Art. 142.- </w:t>
      </w:r>
      <w:r w:rsidRPr="00344803">
        <w:rPr>
          <w:rFonts w:ascii="Times New Roman" w:eastAsia="Times New Roman" w:hAnsi="Times New Roman" w:cs="Times New Roman"/>
          <w:sz w:val="24"/>
          <w:szCs w:val="24"/>
        </w:rPr>
        <w:t>La presente Ordenanza entrará en vigencia ocho días después de su publicación en el Diario Oficial.</w:t>
      </w:r>
    </w:p>
    <w:p w:rsidR="005B30A4" w:rsidRPr="00344803" w:rsidRDefault="005B30A4" w:rsidP="005B30A4">
      <w:pPr>
        <w:spacing w:before="120" w:line="240" w:lineRule="atLeast"/>
        <w:ind w:firstLine="360"/>
        <w:jc w:val="both"/>
        <w:rPr>
          <w:rFonts w:ascii="Times New Roman" w:eastAsia="Times New Roman" w:hAnsi="Times New Roman" w:cs="Times New Roman"/>
          <w:sz w:val="24"/>
          <w:szCs w:val="24"/>
        </w:rPr>
      </w:pPr>
      <w:r w:rsidRPr="00344803">
        <w:rPr>
          <w:rFonts w:ascii="Times New Roman" w:eastAsia="Times New Roman" w:hAnsi="Times New Roman" w:cs="Times New Roman"/>
          <w:sz w:val="24"/>
          <w:szCs w:val="24"/>
        </w:rPr>
        <w:t xml:space="preserve">Dado en el Salón de Sesiones del Concejo Municipal de la ciudad de </w:t>
      </w:r>
      <w:r w:rsidRPr="00344803">
        <w:rPr>
          <w:rFonts w:ascii="Times New Roman" w:eastAsia="Times New Roman" w:hAnsi="Times New Roman" w:cs="Times New Roman"/>
          <w:bCs/>
          <w:sz w:val="24"/>
          <w:szCs w:val="24"/>
        </w:rPr>
        <w:t>SanLuis</w:t>
      </w:r>
      <w:r w:rsidRPr="00344803">
        <w:rPr>
          <w:rFonts w:ascii="Times New Roman" w:eastAsia="Times New Roman" w:hAnsi="Times New Roman" w:cs="Times New Roman"/>
          <w:sz w:val="24"/>
          <w:szCs w:val="24"/>
        </w:rPr>
        <w:t xml:space="preserve"> La </w:t>
      </w:r>
      <w:r w:rsidRPr="00344803">
        <w:rPr>
          <w:rFonts w:ascii="Times New Roman" w:eastAsia="Times New Roman" w:hAnsi="Times New Roman" w:cs="Times New Roman"/>
          <w:bCs/>
          <w:sz w:val="24"/>
          <w:szCs w:val="24"/>
        </w:rPr>
        <w:t>Herradura</w:t>
      </w:r>
      <w:r w:rsidRPr="00344803">
        <w:rPr>
          <w:rFonts w:ascii="Times New Roman" w:eastAsia="Times New Roman" w:hAnsi="Times New Roman" w:cs="Times New Roman"/>
          <w:sz w:val="24"/>
          <w:szCs w:val="24"/>
        </w:rPr>
        <w:t>, Departamento de La Paz, a los diecisiete días del mes de septiembre del año dos mil veintiuno.</w:t>
      </w:r>
    </w:p>
    <w:p w:rsidR="005B30A4" w:rsidRDefault="005B30A4" w:rsidP="005B30A4">
      <w:pPr>
        <w:jc w:val="both"/>
        <w:rPr>
          <w:rFonts w:ascii="Times New Roman" w:eastAsia="Arial" w:hAnsi="Times New Roman" w:cs="Times New Roman"/>
          <w:sz w:val="24"/>
          <w:szCs w:val="24"/>
          <w:u w:val="single"/>
        </w:rPr>
      </w:pPr>
      <w:r w:rsidRPr="001870E6">
        <w:rPr>
          <w:rFonts w:ascii="Times New Roman" w:eastAsia="Arial" w:hAnsi="Times New Roman" w:cs="Times New Roman"/>
          <w:b/>
          <w:sz w:val="24"/>
          <w:szCs w:val="24"/>
          <w:u w:val="single"/>
        </w:rPr>
        <w:t xml:space="preserve">ACUERDO NUMERO </w:t>
      </w:r>
      <w:r>
        <w:rPr>
          <w:rFonts w:ascii="Times New Roman" w:eastAsia="Arial" w:hAnsi="Times New Roman" w:cs="Times New Roman"/>
          <w:b/>
          <w:sz w:val="24"/>
          <w:szCs w:val="24"/>
          <w:u w:val="single"/>
        </w:rPr>
        <w:t>OCHO</w:t>
      </w:r>
      <w:r w:rsidRPr="001870E6">
        <w:rPr>
          <w:rFonts w:ascii="Times New Roman" w:eastAsia="Arial" w:hAnsi="Times New Roman" w:cs="Times New Roman"/>
          <w:b/>
          <w:sz w:val="24"/>
          <w:szCs w:val="24"/>
          <w:u w:val="single"/>
        </w:rPr>
        <w:t>:</w:t>
      </w:r>
      <w:r w:rsidRPr="001870E6">
        <w:rPr>
          <w:rFonts w:ascii="Times New Roman" w:eastAsia="Arial" w:hAnsi="Times New Roman" w:cs="Times New Roman"/>
          <w:sz w:val="24"/>
          <w:szCs w:val="24"/>
          <w:u w:val="single"/>
        </w:rPr>
        <w:t xml:space="preserve"> El Concejo Municipal de Villa San Luis La Herradura Departamento de la Paz</w:t>
      </w:r>
      <w:r w:rsidRPr="001870E6">
        <w:rPr>
          <w:rFonts w:ascii="Times New Roman" w:eastAsia="Arial" w:hAnsi="Times New Roman" w:cs="Times New Roman"/>
          <w:sz w:val="24"/>
          <w:szCs w:val="24"/>
        </w:rPr>
        <w:t>, en uso de sus facultades legales que le confiere el Código Municipal y considerando que de conformidad al DECRETO MUNICIPAL NÚMERO 0</w:t>
      </w:r>
      <w:r>
        <w:rPr>
          <w:rFonts w:ascii="Times New Roman" w:eastAsia="Arial" w:hAnsi="Times New Roman" w:cs="Times New Roman"/>
          <w:sz w:val="24"/>
          <w:szCs w:val="24"/>
        </w:rPr>
        <w:t>4</w:t>
      </w:r>
      <w:r w:rsidRPr="001870E6">
        <w:rPr>
          <w:rFonts w:ascii="Times New Roman" w:eastAsia="Arial" w:hAnsi="Times New Roman" w:cs="Times New Roman"/>
          <w:sz w:val="24"/>
          <w:szCs w:val="24"/>
        </w:rPr>
        <w:t>/2021, de esta misma Act</w:t>
      </w:r>
      <w:r>
        <w:rPr>
          <w:rFonts w:ascii="Times New Roman" w:eastAsia="Arial" w:hAnsi="Times New Roman" w:cs="Times New Roman"/>
          <w:sz w:val="24"/>
          <w:szCs w:val="24"/>
        </w:rPr>
        <w:t xml:space="preserve">a, este Concejo Municipal Aprobó La </w:t>
      </w:r>
      <w:r>
        <w:rPr>
          <w:rFonts w:ascii="Times New Roman" w:eastAsia="Times New Roman" w:hAnsi="Times New Roman" w:cs="Times New Roman"/>
          <w:b/>
          <w:bCs/>
          <w:sz w:val="24"/>
          <w:szCs w:val="24"/>
        </w:rPr>
        <w:t>“</w:t>
      </w:r>
      <w:r w:rsidRPr="001870E6">
        <w:rPr>
          <w:rFonts w:ascii="Times New Roman" w:eastAsia="Times New Roman" w:hAnsi="Times New Roman" w:cs="Times New Roman"/>
          <w:b/>
          <w:bCs/>
          <w:sz w:val="24"/>
          <w:szCs w:val="24"/>
        </w:rPr>
        <w:t>ORDENANZA PARA EL DESARROLLO, ORDENAMIENTO Y GESTIÓN DEL TERRITORIO, MUN</w:t>
      </w:r>
      <w:r>
        <w:rPr>
          <w:rFonts w:ascii="Times New Roman" w:eastAsia="Times New Roman" w:hAnsi="Times New Roman" w:cs="Times New Roman"/>
          <w:b/>
          <w:bCs/>
          <w:sz w:val="24"/>
          <w:szCs w:val="24"/>
        </w:rPr>
        <w:t>ICIPIO DE SAN LUIS LA HERRADURA, DEPARTAMENTO DE LA PAZ</w:t>
      </w:r>
      <w:r w:rsidRPr="001870E6">
        <w:rPr>
          <w:rFonts w:ascii="Times New Roman" w:hAnsi="Times New Roman" w:cs="Times New Roman"/>
          <w:b/>
          <w:sz w:val="24"/>
          <w:szCs w:val="24"/>
        </w:rPr>
        <w:t>;</w:t>
      </w:r>
      <w:r w:rsidRPr="001870E6">
        <w:rPr>
          <w:rFonts w:ascii="Times New Roman" w:hAnsi="Times New Roman" w:cs="Times New Roman"/>
          <w:sz w:val="24"/>
          <w:szCs w:val="24"/>
        </w:rPr>
        <w:t xml:space="preserve"> por lo que para continuar con dicho proceso, este Concejo Municipal. </w:t>
      </w:r>
      <w:r w:rsidRPr="001870E6">
        <w:rPr>
          <w:rFonts w:ascii="Times New Roman" w:eastAsia="Arial" w:hAnsi="Times New Roman" w:cs="Times New Roman"/>
          <w:b/>
          <w:sz w:val="24"/>
          <w:szCs w:val="24"/>
          <w:u w:val="single"/>
        </w:rPr>
        <w:t xml:space="preserve">ACUERDA: a) </w:t>
      </w:r>
      <w:r w:rsidRPr="001870E6">
        <w:rPr>
          <w:rFonts w:ascii="Times New Roman" w:eastAsia="Arial" w:hAnsi="Times New Roman" w:cs="Times New Roman"/>
          <w:sz w:val="24"/>
          <w:szCs w:val="24"/>
          <w:u w:val="single"/>
        </w:rPr>
        <w:t xml:space="preserve">Autorizar al Tesorero Municipal para que erogue de los Fondos Propios la cantidad correspondiente, para la publicación de dicho decreto en el Diario Oficial de la Imprenta Nacional de conformidad a la documentación legal que se le presente. </w:t>
      </w:r>
      <w:r w:rsidRPr="001870E6">
        <w:rPr>
          <w:rFonts w:ascii="Times New Roman" w:eastAsia="Arial" w:hAnsi="Times New Roman" w:cs="Times New Roman"/>
          <w:b/>
          <w:sz w:val="24"/>
          <w:szCs w:val="24"/>
          <w:u w:val="single"/>
        </w:rPr>
        <w:t>b)</w:t>
      </w:r>
      <w:r w:rsidRPr="001870E6">
        <w:rPr>
          <w:rFonts w:ascii="Times New Roman" w:eastAsia="Arial" w:hAnsi="Times New Roman" w:cs="Times New Roman"/>
          <w:sz w:val="24"/>
          <w:szCs w:val="24"/>
          <w:u w:val="single"/>
        </w:rPr>
        <w:t xml:space="preserve"> Certifíquese y Comuníquese pa</w:t>
      </w:r>
      <w:r>
        <w:rPr>
          <w:rFonts w:ascii="Times New Roman" w:eastAsia="Arial" w:hAnsi="Times New Roman" w:cs="Times New Roman"/>
          <w:sz w:val="24"/>
          <w:szCs w:val="24"/>
          <w:u w:val="single"/>
        </w:rPr>
        <w:t>ra los demás efectos legales C</w:t>
      </w:r>
      <w:r w:rsidRPr="001870E6">
        <w:rPr>
          <w:rFonts w:ascii="Times New Roman" w:eastAsia="Arial" w:hAnsi="Times New Roman" w:cs="Times New Roman"/>
          <w:sz w:val="24"/>
          <w:szCs w:val="24"/>
          <w:u w:val="single"/>
        </w:rPr>
        <w:t>onsiguientes………………..</w:t>
      </w:r>
      <w:r>
        <w:rPr>
          <w:rFonts w:ascii="Times New Roman" w:eastAsia="Arial" w:hAnsi="Times New Roman" w:cs="Times New Roman"/>
          <w:sz w:val="24"/>
          <w:szCs w:val="24"/>
          <w:u w:val="single"/>
        </w:rPr>
        <w:t>.........................................................................</w:t>
      </w:r>
    </w:p>
    <w:p w:rsidR="005B30A4" w:rsidRDefault="005B30A4" w:rsidP="005B30A4">
      <w:pPr>
        <w:spacing w:after="0" w:line="240" w:lineRule="auto"/>
        <w:jc w:val="both"/>
        <w:rPr>
          <w:rFonts w:ascii="Times New Roman" w:eastAsia="Arial" w:hAnsi="Times New Roman" w:cs="Times New Roman"/>
          <w:sz w:val="24"/>
          <w:szCs w:val="24"/>
        </w:rPr>
      </w:pPr>
    </w:p>
    <w:p w:rsidR="005B30A4" w:rsidRPr="00426DC6" w:rsidRDefault="005B30A4" w:rsidP="005B30A4">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5B30A4" w:rsidRDefault="005B30A4" w:rsidP="005B30A4">
      <w:pPr>
        <w:spacing w:after="0" w:line="240" w:lineRule="auto"/>
        <w:jc w:val="both"/>
        <w:rPr>
          <w:rFonts w:ascii="Times New Roman" w:hAnsi="Times New Roman" w:cs="Times New Roman"/>
          <w:sz w:val="24"/>
          <w:szCs w:val="24"/>
        </w:rPr>
      </w:pPr>
    </w:p>
    <w:p w:rsidR="005B30A4" w:rsidRPr="00426DC6" w:rsidRDefault="005B30A4" w:rsidP="005B30A4">
      <w:pPr>
        <w:spacing w:after="0" w:line="240" w:lineRule="auto"/>
        <w:jc w:val="both"/>
        <w:rPr>
          <w:rFonts w:ascii="Times New Roman" w:hAnsi="Times New Roman" w:cs="Times New Roman"/>
          <w:sz w:val="24"/>
          <w:szCs w:val="24"/>
        </w:rPr>
      </w:pPr>
    </w:p>
    <w:p w:rsidR="005B30A4" w:rsidRDefault="005B30A4" w:rsidP="005B30A4">
      <w:pPr>
        <w:spacing w:after="0" w:line="240" w:lineRule="auto"/>
        <w:jc w:val="center"/>
        <w:rPr>
          <w:rFonts w:ascii="Times New Roman" w:hAnsi="Times New Roman" w:cs="Times New Roman"/>
          <w:bCs/>
        </w:rPr>
      </w:pPr>
    </w:p>
    <w:p w:rsidR="005B30A4" w:rsidRPr="00874FBD" w:rsidRDefault="005B30A4" w:rsidP="005B30A4">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5B30A4" w:rsidRPr="00874FBD" w:rsidRDefault="005B30A4" w:rsidP="005B30A4">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5B30A4" w:rsidRDefault="005B30A4" w:rsidP="005B30A4">
      <w:pPr>
        <w:autoSpaceDE w:val="0"/>
        <w:autoSpaceDN w:val="0"/>
        <w:adjustRightInd w:val="0"/>
        <w:spacing w:after="0" w:line="240" w:lineRule="auto"/>
        <w:jc w:val="both"/>
        <w:rPr>
          <w:rFonts w:ascii="Times New Roman" w:hAnsi="Times New Roman" w:cs="Times New Roman"/>
          <w:bCs/>
        </w:rPr>
      </w:pPr>
    </w:p>
    <w:p w:rsidR="005B30A4" w:rsidRDefault="005B30A4" w:rsidP="005B30A4">
      <w:pPr>
        <w:spacing w:after="0" w:line="240" w:lineRule="auto"/>
        <w:jc w:val="both"/>
        <w:rPr>
          <w:rFonts w:ascii="Times New Roman" w:hAnsi="Times New Roman" w:cs="Times New Roman"/>
          <w:bCs/>
        </w:rPr>
      </w:pPr>
    </w:p>
    <w:p w:rsidR="005B30A4"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5B30A4"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5B30A4" w:rsidRPr="00874FBD"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5B30A4" w:rsidRPr="00874FBD" w:rsidRDefault="005B30A4" w:rsidP="005B30A4">
      <w:pPr>
        <w:spacing w:after="0" w:line="240" w:lineRule="auto"/>
        <w:jc w:val="both"/>
        <w:rPr>
          <w:rFonts w:ascii="Times New Roman" w:hAnsi="Times New Roman" w:cs="Times New Roman"/>
          <w:bCs/>
        </w:rPr>
      </w:pPr>
    </w:p>
    <w:p w:rsidR="005B30A4"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5B30A4" w:rsidRDefault="005B30A4" w:rsidP="005B30A4">
      <w:pPr>
        <w:spacing w:after="0" w:line="240" w:lineRule="auto"/>
        <w:jc w:val="both"/>
        <w:rPr>
          <w:rFonts w:ascii="Times New Roman" w:hAnsi="Times New Roman" w:cs="Times New Roman"/>
          <w:bCs/>
        </w:rPr>
      </w:pPr>
    </w:p>
    <w:p w:rsidR="005B30A4"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5B30A4"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5B30A4" w:rsidRPr="00874FBD" w:rsidRDefault="005B30A4" w:rsidP="005B30A4">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5B30A4" w:rsidRPr="00874FBD" w:rsidRDefault="005B30A4" w:rsidP="005B30A4">
      <w:pPr>
        <w:spacing w:after="0" w:line="240" w:lineRule="auto"/>
        <w:jc w:val="both"/>
        <w:rPr>
          <w:rFonts w:ascii="Times New Roman" w:hAnsi="Times New Roman" w:cs="Times New Roman"/>
          <w:bCs/>
        </w:rPr>
      </w:pPr>
    </w:p>
    <w:p w:rsidR="005B30A4"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bCs/>
        </w:rPr>
      </w:pPr>
    </w:p>
    <w:p w:rsidR="005B30A4" w:rsidRPr="00874FBD" w:rsidRDefault="005B30A4" w:rsidP="005B30A4">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5B30A4" w:rsidRDefault="005B30A4" w:rsidP="005B30A4">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21A0BF8"/>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C49E9EEC"/>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8D4380"/>
    <w:multiLevelType w:val="hybridMultilevel"/>
    <w:tmpl w:val="33024C52"/>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14C7806"/>
    <w:multiLevelType w:val="hybridMultilevel"/>
    <w:tmpl w:val="A7C017F8"/>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035F12B2"/>
    <w:multiLevelType w:val="hybridMultilevel"/>
    <w:tmpl w:val="BF14D4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245B07"/>
    <w:multiLevelType w:val="hybridMultilevel"/>
    <w:tmpl w:val="B4407DD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066E6860"/>
    <w:multiLevelType w:val="hybridMultilevel"/>
    <w:tmpl w:val="52A2660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06935F06"/>
    <w:multiLevelType w:val="hybridMultilevel"/>
    <w:tmpl w:val="ED046B92"/>
    <w:lvl w:ilvl="0" w:tplc="3B8CDF88">
      <w:start w:val="4"/>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07F31E28"/>
    <w:multiLevelType w:val="hybridMultilevel"/>
    <w:tmpl w:val="2932D342"/>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089C01A5"/>
    <w:multiLevelType w:val="hybridMultilevel"/>
    <w:tmpl w:val="B0E244B4"/>
    <w:lvl w:ilvl="0" w:tplc="56849932">
      <w:start w:val="1"/>
      <w:numFmt w:val="lowerLetter"/>
      <w:lvlText w:val="%1)"/>
      <w:lvlJc w:val="left"/>
      <w:pPr>
        <w:ind w:left="820" w:hanging="360"/>
      </w:pPr>
      <w:rPr>
        <w:rFonts w:hint="default"/>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0A522B2D"/>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0BF2791E"/>
    <w:multiLevelType w:val="hybridMultilevel"/>
    <w:tmpl w:val="C3B6AD92"/>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0DD13382"/>
    <w:multiLevelType w:val="hybridMultilevel"/>
    <w:tmpl w:val="08F4C1A0"/>
    <w:lvl w:ilvl="0" w:tplc="05C0F7FC">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121A1A75"/>
    <w:multiLevelType w:val="hybridMultilevel"/>
    <w:tmpl w:val="1882AFC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12F33915"/>
    <w:multiLevelType w:val="hybridMultilevel"/>
    <w:tmpl w:val="B1B4F9BE"/>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13C35BA2"/>
    <w:multiLevelType w:val="hybridMultilevel"/>
    <w:tmpl w:val="1D2A3AB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14385160"/>
    <w:multiLevelType w:val="hybridMultilevel"/>
    <w:tmpl w:val="28780FC8"/>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8">
    <w:nsid w:val="1B4724F2"/>
    <w:multiLevelType w:val="hybridMultilevel"/>
    <w:tmpl w:val="5E426C9E"/>
    <w:lvl w:ilvl="0" w:tplc="F4863A14">
      <w:start w:val="3"/>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1DAE5E58"/>
    <w:multiLevelType w:val="hybridMultilevel"/>
    <w:tmpl w:val="0922BCFC"/>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22ED23DE"/>
    <w:multiLevelType w:val="hybridMultilevel"/>
    <w:tmpl w:val="6A5A78BA"/>
    <w:lvl w:ilvl="0" w:tplc="B58A2232">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25211D87"/>
    <w:multiLevelType w:val="hybridMultilevel"/>
    <w:tmpl w:val="2E0E56D0"/>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28B30C63"/>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4">
    <w:nsid w:val="30F140AE"/>
    <w:multiLevelType w:val="hybridMultilevel"/>
    <w:tmpl w:val="C096D228"/>
    <w:lvl w:ilvl="0" w:tplc="30F20EC4">
      <w:start w:val="1"/>
      <w:numFmt w:val="decimal"/>
      <w:lvlText w:val="%1."/>
      <w:lvlJc w:val="left"/>
      <w:pPr>
        <w:tabs>
          <w:tab w:val="num" w:pos="720"/>
        </w:tabs>
        <w:ind w:left="720" w:hanging="360"/>
      </w:pPr>
      <w:rPr>
        <w:rFonts w:ascii="Times New Roman" w:eastAsia="Times New Roman" w:hAnsi="Times New Roman" w:cs="Times New Roman"/>
        <w:u w:val="single"/>
      </w:rPr>
    </w:lvl>
    <w:lvl w:ilvl="1" w:tplc="B150CCD0">
      <w:start w:val="1"/>
      <w:numFmt w:val="lowerLetter"/>
      <w:lvlText w:val="%2."/>
      <w:lvlJc w:val="left"/>
      <w:pPr>
        <w:tabs>
          <w:tab w:val="num" w:pos="786"/>
        </w:tabs>
        <w:ind w:left="786" w:hanging="360"/>
      </w:pPr>
      <w:rPr>
        <w:rFonts w:ascii="Times New Roman" w:hAnsi="Times New Roman" w:cs="Times New Roman" w:hint="default"/>
        <w:sz w:val="22"/>
        <w:u w:val="none"/>
      </w:rPr>
    </w:lvl>
    <w:lvl w:ilvl="2" w:tplc="0C0A0001">
      <w:start w:val="1"/>
      <w:numFmt w:val="bullet"/>
      <w:lvlText w:val=""/>
      <w:lvlJc w:val="left"/>
      <w:pPr>
        <w:tabs>
          <w:tab w:val="num" w:pos="2340"/>
        </w:tabs>
        <w:ind w:left="2340" w:hanging="360"/>
      </w:pPr>
      <w:rPr>
        <w:rFonts w:ascii="Symbol" w:hAnsi="Symbol" w:hint="default"/>
        <w:u w:val="single"/>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3390662B"/>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3A940BD8"/>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3BC82242"/>
    <w:multiLevelType w:val="hybridMultilevel"/>
    <w:tmpl w:val="7D6034FC"/>
    <w:lvl w:ilvl="0" w:tplc="238E4928">
      <w:start w:val="1"/>
      <w:numFmt w:val="decimalZero"/>
      <w:lvlText w:val="%1-"/>
      <w:lvlJc w:val="left"/>
      <w:pPr>
        <w:ind w:left="765" w:hanging="405"/>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3C6C426C"/>
    <w:multiLevelType w:val="hybridMultilevel"/>
    <w:tmpl w:val="EDEE725A"/>
    <w:lvl w:ilvl="0" w:tplc="4D68F69A">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3CEF4B5B"/>
    <w:multiLevelType w:val="hybridMultilevel"/>
    <w:tmpl w:val="E4B804E2"/>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3F3347C5"/>
    <w:multiLevelType w:val="hybridMultilevel"/>
    <w:tmpl w:val="97ECAC44"/>
    <w:lvl w:ilvl="0" w:tplc="8E1E8D8C">
      <w:numFmt w:val="bullet"/>
      <w:lvlText w:val="-"/>
      <w:lvlJc w:val="left"/>
      <w:pPr>
        <w:ind w:left="720" w:hanging="360"/>
      </w:pPr>
      <w:rPr>
        <w:rFonts w:ascii="Times New Roman" w:eastAsiaTheme="minorHAnsi" w:hAnsi="Times New Roman" w:cs="Times New Roman" w:hint="default"/>
        <w:color w:val="auto"/>
        <w:sz w:val="27"/>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nsid w:val="3F5260F6"/>
    <w:multiLevelType w:val="hybridMultilevel"/>
    <w:tmpl w:val="F5B490E8"/>
    <w:lvl w:ilvl="0" w:tplc="764CBA38">
      <w:start w:val="1"/>
      <w:numFmt w:val="decimal"/>
      <w:lvlText w:val="%1."/>
      <w:lvlJc w:val="left"/>
      <w:pPr>
        <w:ind w:left="870" w:hanging="51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0E55EA2"/>
    <w:multiLevelType w:val="hybridMultilevel"/>
    <w:tmpl w:val="96BACDD6"/>
    <w:lvl w:ilvl="0" w:tplc="27F6823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428D50C4"/>
    <w:multiLevelType w:val="hybridMultilevel"/>
    <w:tmpl w:val="1758FD3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47803B12"/>
    <w:multiLevelType w:val="hybridMultilevel"/>
    <w:tmpl w:val="93164E68"/>
    <w:lvl w:ilvl="0" w:tplc="8D963318">
      <w:start w:val="4"/>
      <w:numFmt w:val="bullet"/>
      <w:lvlText w:val=""/>
      <w:lvlJc w:val="left"/>
      <w:pPr>
        <w:ind w:left="840" w:hanging="48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7544C2"/>
    <w:multiLevelType w:val="hybridMultilevel"/>
    <w:tmpl w:val="9364CF80"/>
    <w:lvl w:ilvl="0" w:tplc="67CEE9A2">
      <w:start w:val="1"/>
      <w:numFmt w:val="upperRoman"/>
      <w:lvlText w:val="%1."/>
      <w:lvlJc w:val="right"/>
      <w:pPr>
        <w:tabs>
          <w:tab w:val="num" w:pos="5040"/>
        </w:tabs>
        <w:ind w:left="5040" w:hanging="180"/>
      </w:pPr>
      <w:rPr>
        <w:rFonts w:hint="default"/>
        <w:b w:val="0"/>
        <w:i/>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0ED56C5"/>
    <w:multiLevelType w:val="hybridMultilevel"/>
    <w:tmpl w:val="0FB02534"/>
    <w:lvl w:ilvl="0" w:tplc="3E2201A8">
      <w:start w:val="1"/>
      <w:numFmt w:val="decimalZero"/>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52EE498A"/>
    <w:multiLevelType w:val="hybridMultilevel"/>
    <w:tmpl w:val="F676D6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CF41EB"/>
    <w:multiLevelType w:val="hybridMultilevel"/>
    <w:tmpl w:val="42A64D42"/>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5C43461F"/>
    <w:multiLevelType w:val="hybridMultilevel"/>
    <w:tmpl w:val="9648C810"/>
    <w:lvl w:ilvl="0" w:tplc="C0F4DFCE">
      <w:start w:val="1"/>
      <w:numFmt w:val="decimalZero"/>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0">
    <w:nsid w:val="5D5D7279"/>
    <w:multiLevelType w:val="hybridMultilevel"/>
    <w:tmpl w:val="C11C0280"/>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nsid w:val="5DA5423C"/>
    <w:multiLevelType w:val="hybridMultilevel"/>
    <w:tmpl w:val="64AC96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F410AAE"/>
    <w:multiLevelType w:val="hybridMultilevel"/>
    <w:tmpl w:val="79D2F19A"/>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nsid w:val="612E5F2C"/>
    <w:multiLevelType w:val="hybridMultilevel"/>
    <w:tmpl w:val="23FAA4A0"/>
    <w:lvl w:ilvl="0" w:tplc="21DC4734">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8C4E42"/>
    <w:multiLevelType w:val="hybridMultilevel"/>
    <w:tmpl w:val="E7C40406"/>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5">
    <w:nsid w:val="6A4930B6"/>
    <w:multiLevelType w:val="hybridMultilevel"/>
    <w:tmpl w:val="2444B062"/>
    <w:lvl w:ilvl="0" w:tplc="1F02FC8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nsid w:val="6CAED09C"/>
    <w:multiLevelType w:val="hybridMultilevel"/>
    <w:tmpl w:val="17CCD4B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0040AF1"/>
    <w:multiLevelType w:val="hybridMultilevel"/>
    <w:tmpl w:val="055267E4"/>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nsid w:val="71A645A6"/>
    <w:multiLevelType w:val="hybridMultilevel"/>
    <w:tmpl w:val="748EFE08"/>
    <w:lvl w:ilvl="0" w:tplc="BC327AC6">
      <w:start w:val="6"/>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9">
    <w:nsid w:val="7FF5339D"/>
    <w:multiLevelType w:val="hybridMultilevel"/>
    <w:tmpl w:val="CBB8DB2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1"/>
  </w:num>
  <w:num w:numId="2">
    <w:abstractNumId w:val="35"/>
  </w:num>
  <w:num w:numId="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44"/>
  </w:num>
  <w:num w:numId="7">
    <w:abstractNumId w:val="47"/>
  </w:num>
  <w:num w:numId="8">
    <w:abstractNumId w:val="12"/>
  </w:num>
  <w:num w:numId="9">
    <w:abstractNumId w:val="46"/>
  </w:num>
  <w:num w:numId="10">
    <w:abstractNumId w:val="3"/>
  </w:num>
  <w:num w:numId="11">
    <w:abstractNumId w:val="32"/>
  </w:num>
  <w:num w:numId="12">
    <w:abstractNumId w:val="45"/>
  </w:num>
  <w:num w:numId="13">
    <w:abstractNumId w:val="39"/>
  </w:num>
  <w:num w:numId="14">
    <w:abstractNumId w:val="26"/>
  </w:num>
  <w:num w:numId="15">
    <w:abstractNumId w:val="10"/>
  </w:num>
  <w:num w:numId="16">
    <w:abstractNumId w:val="5"/>
  </w:num>
  <w:num w:numId="17">
    <w:abstractNumId w:val="2"/>
  </w:num>
  <w:num w:numId="18">
    <w:abstractNumId w:val="13"/>
  </w:num>
  <w:num w:numId="19">
    <w:abstractNumId w:val="21"/>
  </w:num>
  <w:num w:numId="20">
    <w:abstractNumId w:val="8"/>
  </w:num>
  <w:num w:numId="21">
    <w:abstractNumId w:val="16"/>
  </w:num>
  <w:num w:numId="22">
    <w:abstractNumId w:val="36"/>
  </w:num>
  <w:num w:numId="23">
    <w:abstractNumId w:val="19"/>
  </w:num>
  <w:num w:numId="24">
    <w:abstractNumId w:val="29"/>
  </w:num>
  <w:num w:numId="25">
    <w:abstractNumId w:val="9"/>
  </w:num>
  <w:num w:numId="26">
    <w:abstractNumId w:val="23"/>
  </w:num>
  <w:num w:numId="27">
    <w:abstractNumId w:val="27"/>
  </w:num>
  <w:num w:numId="28">
    <w:abstractNumId w:val="6"/>
  </w:num>
  <w:num w:numId="29">
    <w:abstractNumId w:val="15"/>
  </w:num>
  <w:num w:numId="30">
    <w:abstractNumId w:val="14"/>
  </w:num>
  <w:num w:numId="31">
    <w:abstractNumId w:val="33"/>
  </w:num>
  <w:num w:numId="32">
    <w:abstractNumId w:val="48"/>
  </w:num>
  <w:num w:numId="33">
    <w:abstractNumId w:val="18"/>
  </w:num>
  <w:num w:numId="34">
    <w:abstractNumId w:val="7"/>
  </w:num>
  <w:num w:numId="35">
    <w:abstractNumId w:val="42"/>
  </w:num>
  <w:num w:numId="36">
    <w:abstractNumId w:val="49"/>
  </w:num>
  <w:num w:numId="37">
    <w:abstractNumId w:val="30"/>
  </w:num>
  <w:num w:numId="38">
    <w:abstractNumId w:val="20"/>
  </w:num>
  <w:num w:numId="39">
    <w:abstractNumId w:val="38"/>
  </w:num>
  <w:num w:numId="40">
    <w:abstractNumId w:val="40"/>
  </w:num>
  <w:num w:numId="41">
    <w:abstractNumId w:val="4"/>
  </w:num>
  <w:num w:numId="42">
    <w:abstractNumId w:val="34"/>
  </w:num>
  <w:num w:numId="43">
    <w:abstractNumId w:val="37"/>
  </w:num>
  <w:num w:numId="44">
    <w:abstractNumId w:val="41"/>
  </w:num>
  <w:num w:numId="45">
    <w:abstractNumId w:val="43"/>
  </w:num>
  <w:num w:numId="46">
    <w:abstractNumId w:val="28"/>
  </w:num>
  <w:num w:numId="47">
    <w:abstractNumId w:val="25"/>
  </w:num>
  <w:num w:numId="48">
    <w:abstractNumId w:val="22"/>
  </w:num>
  <w:num w:numId="49">
    <w:abstractNumId w:val="1"/>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5B30A4"/>
    <w:rsid w:val="005B30A4"/>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0A4"/>
    <w:pPr>
      <w:spacing w:after="160" w:line="259" w:lineRule="auto"/>
    </w:pPr>
    <w:rPr>
      <w:lang w:val="es-SV"/>
    </w:rPr>
  </w:style>
  <w:style w:type="paragraph" w:styleId="Ttulo2">
    <w:name w:val="heading 2"/>
    <w:basedOn w:val="Normal"/>
    <w:next w:val="Normal"/>
    <w:link w:val="Ttulo2Car"/>
    <w:uiPriority w:val="9"/>
    <w:unhideWhenUsed/>
    <w:qFormat/>
    <w:rsid w:val="005B30A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5B30A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5B30A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5B30A4"/>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5B30A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B30A4"/>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5B30A4"/>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5B30A4"/>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5B30A4"/>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5B30A4"/>
    <w:rPr>
      <w:rFonts w:asciiTheme="majorHAnsi" w:eastAsiaTheme="majorEastAsia" w:hAnsiTheme="majorHAnsi" w:cstheme="majorBidi"/>
      <w:color w:val="243F60" w:themeColor="accent1" w:themeShade="7F"/>
      <w:lang w:val="es-SV"/>
    </w:rPr>
  </w:style>
  <w:style w:type="paragraph" w:customStyle="1" w:styleId="Default">
    <w:name w:val="Default"/>
    <w:rsid w:val="005B30A4"/>
    <w:pPr>
      <w:autoSpaceDE w:val="0"/>
      <w:autoSpaceDN w:val="0"/>
      <w:adjustRightInd w:val="0"/>
      <w:spacing w:after="0" w:line="240" w:lineRule="auto"/>
    </w:pPr>
    <w:rPr>
      <w:rFonts w:ascii="Arial" w:hAnsi="Arial" w:cs="Arial"/>
      <w:color w:val="000000"/>
      <w:sz w:val="24"/>
      <w:szCs w:val="24"/>
      <w:lang w:val="es-SV"/>
    </w:rPr>
  </w:style>
  <w:style w:type="paragraph" w:styleId="Prrafodelista">
    <w:name w:val="List Paragraph"/>
    <w:basedOn w:val="Normal"/>
    <w:uiPriority w:val="34"/>
    <w:qFormat/>
    <w:rsid w:val="005B30A4"/>
    <w:pPr>
      <w:ind w:left="720"/>
      <w:contextualSpacing/>
    </w:pPr>
    <w:rPr>
      <w:lang w:val="es-ES"/>
    </w:rPr>
  </w:style>
  <w:style w:type="table" w:customStyle="1" w:styleId="Tablaconcuadrcula1">
    <w:name w:val="Tabla con cuadrícula1"/>
    <w:basedOn w:val="Tablanormal"/>
    <w:next w:val="Tablaconcuadrcula"/>
    <w:uiPriority w:val="59"/>
    <w:rsid w:val="005B30A4"/>
    <w:pPr>
      <w:spacing w:after="0" w:line="240" w:lineRule="auto"/>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5B30A4"/>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5B30A4"/>
    <w:pPr>
      <w:widowControl w:val="0"/>
      <w:autoSpaceDE w:val="0"/>
      <w:autoSpaceDN w:val="0"/>
      <w:spacing w:after="0" w:line="240" w:lineRule="auto"/>
      <w:ind w:left="107"/>
    </w:pPr>
    <w:rPr>
      <w:rFonts w:ascii="Times New Roman" w:eastAsia="Times New Roman" w:hAnsi="Times New Roman" w:cs="Times New Roman"/>
      <w:lang w:val="es-ES"/>
    </w:rPr>
  </w:style>
  <w:style w:type="character" w:styleId="nfasis">
    <w:name w:val="Emphasis"/>
    <w:basedOn w:val="Fuentedeprrafopredeter"/>
    <w:uiPriority w:val="20"/>
    <w:qFormat/>
    <w:rsid w:val="005B30A4"/>
    <w:rPr>
      <w:i/>
      <w:iCs/>
    </w:rPr>
  </w:style>
  <w:style w:type="paragraph" w:styleId="Sinespaciado">
    <w:name w:val="No Spacing"/>
    <w:uiPriority w:val="1"/>
    <w:qFormat/>
    <w:rsid w:val="005B30A4"/>
    <w:pPr>
      <w:spacing w:after="0" w:line="240" w:lineRule="auto"/>
      <w:jc w:val="both"/>
    </w:pPr>
    <w:rPr>
      <w:rFonts w:ascii="Calibri" w:eastAsia="Calibri" w:hAnsi="Calibri" w:cs="Times New Roman"/>
      <w:sz w:val="28"/>
      <w:lang w:val="es-SV"/>
    </w:rPr>
  </w:style>
  <w:style w:type="paragraph" w:styleId="Encabezado">
    <w:name w:val="header"/>
    <w:basedOn w:val="Normal"/>
    <w:link w:val="EncabezadoCar"/>
    <w:uiPriority w:val="99"/>
    <w:unhideWhenUsed/>
    <w:rsid w:val="005B30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B30A4"/>
    <w:rPr>
      <w:lang w:val="es-SV"/>
    </w:rPr>
  </w:style>
  <w:style w:type="paragraph" w:styleId="Piedepgina">
    <w:name w:val="footer"/>
    <w:basedOn w:val="Normal"/>
    <w:link w:val="PiedepginaCar"/>
    <w:uiPriority w:val="99"/>
    <w:unhideWhenUsed/>
    <w:rsid w:val="005B30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B30A4"/>
    <w:rPr>
      <w:lang w:val="es-SV"/>
    </w:rPr>
  </w:style>
  <w:style w:type="paragraph" w:styleId="Textodeglobo">
    <w:name w:val="Balloon Text"/>
    <w:basedOn w:val="Normal"/>
    <w:link w:val="TextodegloboCar"/>
    <w:uiPriority w:val="99"/>
    <w:semiHidden/>
    <w:unhideWhenUsed/>
    <w:rsid w:val="005B30A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B30A4"/>
    <w:rPr>
      <w:rFonts w:ascii="Segoe UI" w:hAnsi="Segoe UI" w:cs="Segoe UI"/>
      <w:sz w:val="18"/>
      <w:szCs w:val="18"/>
      <w:lang w:val="es-SV"/>
    </w:rPr>
  </w:style>
  <w:style w:type="paragraph" w:styleId="z-Principiodelformulario">
    <w:name w:val="HTML Top of Form"/>
    <w:basedOn w:val="Normal"/>
    <w:next w:val="Normal"/>
    <w:link w:val="z-PrincipiodelformularioCar"/>
    <w:hidden/>
    <w:rsid w:val="005B30A4"/>
    <w:pPr>
      <w:pBdr>
        <w:bottom w:val="single" w:sz="6" w:space="1" w:color="auto"/>
      </w:pBdr>
      <w:spacing w:after="0" w:line="240" w:lineRule="auto"/>
      <w:jc w:val="center"/>
    </w:pPr>
    <w:rPr>
      <w:rFonts w:ascii="Arial" w:eastAsia="MS Mincho" w:hAnsi="Arial" w:cs="Arial"/>
      <w:vanish/>
      <w:color w:val="000000"/>
      <w:sz w:val="16"/>
      <w:szCs w:val="16"/>
      <w:lang w:val="es-ES" w:eastAsia="ja-JP"/>
    </w:rPr>
  </w:style>
  <w:style w:type="character" w:customStyle="1" w:styleId="z-PrincipiodelformularioCar">
    <w:name w:val="z-Principio del formulario Car"/>
    <w:basedOn w:val="Fuentedeprrafopredeter"/>
    <w:link w:val="z-Principiodelformulario"/>
    <w:rsid w:val="005B30A4"/>
    <w:rPr>
      <w:rFonts w:ascii="Arial" w:eastAsia="MS Mincho" w:hAnsi="Arial" w:cs="Arial"/>
      <w:vanish/>
      <w:color w:val="000000"/>
      <w:sz w:val="16"/>
      <w:szCs w:val="16"/>
      <w:lang w:eastAsia="ja-JP"/>
    </w:rPr>
  </w:style>
  <w:style w:type="character" w:styleId="Textoennegrita">
    <w:name w:val="Strong"/>
    <w:basedOn w:val="Fuentedeprrafopredeter"/>
    <w:uiPriority w:val="22"/>
    <w:qFormat/>
    <w:rsid w:val="005B30A4"/>
    <w:rPr>
      <w:b/>
      <w:bCs/>
    </w:rPr>
  </w:style>
  <w:style w:type="table" w:customStyle="1" w:styleId="TableNormal">
    <w:name w:val="Table Normal"/>
    <w:uiPriority w:val="2"/>
    <w:semiHidden/>
    <w:unhideWhenUsed/>
    <w:qFormat/>
    <w:rsid w:val="005B30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chpdefault">
    <w:name w:val="msochpdefault"/>
    <w:basedOn w:val="Normal"/>
    <w:rsid w:val="005B30A4"/>
    <w:pPr>
      <w:spacing w:before="100" w:beforeAutospacing="1" w:after="100" w:afterAutospacing="1" w:line="240" w:lineRule="auto"/>
    </w:pPr>
    <w:rPr>
      <w:rFonts w:ascii="Calibri" w:eastAsia="Times New Roman" w:hAnsi="Calibri" w:cs="Times New Roman"/>
      <w:sz w:val="24"/>
      <w:szCs w:val="24"/>
      <w:lang w:eastAsia="es-SV"/>
    </w:rPr>
  </w:style>
  <w:style w:type="paragraph" w:customStyle="1" w:styleId="msopapdefault">
    <w:name w:val="msopapdefault"/>
    <w:basedOn w:val="Normal"/>
    <w:rsid w:val="005B30A4"/>
    <w:pPr>
      <w:spacing w:before="100" w:beforeAutospacing="1" w:after="200" w:line="276" w:lineRule="auto"/>
    </w:pPr>
    <w:rPr>
      <w:rFonts w:ascii="Times New Roman" w:eastAsia="Times New Roman" w:hAnsi="Times New Roman" w:cs="Times New Roman"/>
      <w:sz w:val="24"/>
      <w:szCs w:val="24"/>
      <w:lang w:eastAsia="es-SV"/>
    </w:rPr>
  </w:style>
  <w:style w:type="paragraph" w:styleId="NormalWeb">
    <w:name w:val="Normal (Web)"/>
    <w:basedOn w:val="Normal"/>
    <w:uiPriority w:val="99"/>
    <w:unhideWhenUsed/>
    <w:rsid w:val="005B30A4"/>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apple-converted-space">
    <w:name w:val="apple-converted-space"/>
    <w:basedOn w:val="Fuentedeprrafopredeter"/>
    <w:rsid w:val="005B30A4"/>
  </w:style>
  <w:style w:type="paragraph" w:customStyle="1" w:styleId="Standard">
    <w:name w:val="Standard"/>
    <w:rsid w:val="005B30A4"/>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es-SV" w:eastAsia="zh-CN" w:bidi="hi-IN"/>
    </w:rPr>
  </w:style>
  <w:style w:type="paragraph" w:styleId="Lista">
    <w:name w:val="List"/>
    <w:basedOn w:val="Normal"/>
    <w:uiPriority w:val="99"/>
    <w:unhideWhenUsed/>
    <w:rsid w:val="005B30A4"/>
    <w:pPr>
      <w:ind w:left="283" w:hanging="283"/>
      <w:contextualSpacing/>
    </w:pPr>
  </w:style>
  <w:style w:type="paragraph" w:styleId="Lista2">
    <w:name w:val="List 2"/>
    <w:basedOn w:val="Normal"/>
    <w:uiPriority w:val="99"/>
    <w:unhideWhenUsed/>
    <w:rsid w:val="005B30A4"/>
    <w:pPr>
      <w:ind w:left="566" w:hanging="283"/>
      <w:contextualSpacing/>
    </w:pPr>
  </w:style>
  <w:style w:type="paragraph" w:styleId="Listaconvietas">
    <w:name w:val="List Bullet"/>
    <w:basedOn w:val="Normal"/>
    <w:uiPriority w:val="99"/>
    <w:unhideWhenUsed/>
    <w:rsid w:val="005B30A4"/>
    <w:pPr>
      <w:numPr>
        <w:numId w:val="49"/>
      </w:numPr>
      <w:contextualSpacing/>
    </w:pPr>
  </w:style>
  <w:style w:type="paragraph" w:styleId="Listaconvietas2">
    <w:name w:val="List Bullet 2"/>
    <w:basedOn w:val="Normal"/>
    <w:uiPriority w:val="99"/>
    <w:unhideWhenUsed/>
    <w:rsid w:val="005B30A4"/>
    <w:pPr>
      <w:numPr>
        <w:numId w:val="50"/>
      </w:numPr>
      <w:contextualSpacing/>
    </w:pPr>
  </w:style>
  <w:style w:type="paragraph" w:styleId="Continuarlista2">
    <w:name w:val="List Continue 2"/>
    <w:basedOn w:val="Normal"/>
    <w:uiPriority w:val="99"/>
    <w:unhideWhenUsed/>
    <w:rsid w:val="005B30A4"/>
    <w:pPr>
      <w:spacing w:after="120"/>
      <w:ind w:left="566"/>
      <w:contextualSpacing/>
    </w:pPr>
  </w:style>
  <w:style w:type="paragraph" w:styleId="Epgrafe">
    <w:name w:val="caption"/>
    <w:basedOn w:val="Normal"/>
    <w:next w:val="Normal"/>
    <w:uiPriority w:val="35"/>
    <w:unhideWhenUsed/>
    <w:qFormat/>
    <w:rsid w:val="005B30A4"/>
    <w:pPr>
      <w:spacing w:after="200" w:line="240" w:lineRule="auto"/>
    </w:pPr>
    <w:rPr>
      <w:i/>
      <w:iCs/>
      <w:color w:val="1F497D" w:themeColor="text2"/>
      <w:sz w:val="18"/>
      <w:szCs w:val="18"/>
    </w:rPr>
  </w:style>
  <w:style w:type="paragraph" w:styleId="Textoindependiente">
    <w:name w:val="Body Text"/>
    <w:basedOn w:val="Normal"/>
    <w:link w:val="TextoindependienteCar"/>
    <w:uiPriority w:val="99"/>
    <w:unhideWhenUsed/>
    <w:rsid w:val="005B30A4"/>
    <w:pPr>
      <w:spacing w:after="120"/>
    </w:pPr>
  </w:style>
  <w:style w:type="character" w:customStyle="1" w:styleId="TextoindependienteCar">
    <w:name w:val="Texto independiente Car"/>
    <w:basedOn w:val="Fuentedeprrafopredeter"/>
    <w:link w:val="Textoindependiente"/>
    <w:uiPriority w:val="99"/>
    <w:rsid w:val="005B30A4"/>
    <w:rPr>
      <w:lang w:val="es-SV"/>
    </w:rPr>
  </w:style>
  <w:style w:type="paragraph" w:styleId="Sangradetextonormal">
    <w:name w:val="Body Text Indent"/>
    <w:basedOn w:val="Normal"/>
    <w:link w:val="SangradetextonormalCar"/>
    <w:uiPriority w:val="99"/>
    <w:unhideWhenUsed/>
    <w:rsid w:val="005B30A4"/>
    <w:pPr>
      <w:spacing w:after="120"/>
      <w:ind w:left="283"/>
    </w:pPr>
  </w:style>
  <w:style w:type="character" w:customStyle="1" w:styleId="SangradetextonormalCar">
    <w:name w:val="Sangría de texto normal Car"/>
    <w:basedOn w:val="Fuentedeprrafopredeter"/>
    <w:link w:val="Sangradetextonormal"/>
    <w:uiPriority w:val="99"/>
    <w:rsid w:val="005B30A4"/>
    <w:rPr>
      <w:lang w:val="es-SV"/>
    </w:rPr>
  </w:style>
  <w:style w:type="paragraph" w:styleId="Textoindependienteprimerasangra">
    <w:name w:val="Body Text First Indent"/>
    <w:basedOn w:val="Textoindependiente"/>
    <w:link w:val="TextoindependienteprimerasangraCar"/>
    <w:uiPriority w:val="99"/>
    <w:unhideWhenUsed/>
    <w:rsid w:val="005B30A4"/>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5B30A4"/>
  </w:style>
  <w:style w:type="paragraph" w:styleId="Textoindependienteprimerasangra2">
    <w:name w:val="Body Text First Indent 2"/>
    <w:basedOn w:val="Sangradetextonormal"/>
    <w:link w:val="Textoindependienteprimerasangra2Car"/>
    <w:uiPriority w:val="99"/>
    <w:unhideWhenUsed/>
    <w:rsid w:val="005B30A4"/>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5B30A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17588</Words>
  <Characters>96737</Characters>
  <Application>Microsoft Office Word</Application>
  <DocSecurity>0</DocSecurity>
  <Lines>806</Lines>
  <Paragraphs>228</Paragraphs>
  <ScaleCrop>false</ScaleCrop>
  <Company/>
  <LinksUpToDate>false</LinksUpToDate>
  <CharactersWithSpaces>114097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2023-09-01T15:23:00Z</dcterms:created>
  <dcterms:modified xsi:type="dcterms:W3CDTF">2023-09-01T15:23:00Z</dcterms:modified>
</cp:coreProperties>
</file>